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5A9" w:rsidRDefault="00E375A9">
      <w:pPr>
        <w:pStyle w:val="CommentText"/>
        <w:rPr>
          <w:noProof/>
          <w:szCs w:val="24"/>
          <w:lang w:val="en-US"/>
        </w:rPr>
      </w:pPr>
    </w:p>
    <w:p w:rsidR="00AF7205" w:rsidRDefault="00AF7205">
      <w:pPr>
        <w:pStyle w:val="CommentText"/>
        <w:rPr>
          <w:noProof/>
          <w:szCs w:val="24"/>
          <w:lang w:val="en-US"/>
        </w:rPr>
      </w:pPr>
    </w:p>
    <w:p w:rsidR="00F4367A" w:rsidRDefault="00EF59F1">
      <w:pPr>
        <w:pStyle w:val="CommentText"/>
        <w:rPr>
          <w:noProof/>
          <w:szCs w:val="24"/>
          <w:lang w:val="en-US"/>
        </w:rPr>
      </w:pPr>
      <w:r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-683895</wp:posOffset>
                </wp:positionV>
                <wp:extent cx="1143000" cy="1485900"/>
                <wp:effectExtent l="0" t="0" r="0" b="444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67A" w:rsidRDefault="00EF59F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942975" cy="1257300"/>
                                  <wp:effectExtent l="0" t="0" r="9525" b="0"/>
                                  <wp:docPr id="1" name="Picture 1" descr="occ_bl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cc_bl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96pt;margin-top:-53.85pt;width:90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" stroked="f">
                <v:textbox>
                  <w:txbxContent>
                    <w:p w:rsidR="00F4367A" w:rsidRDefault="00EF59F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942975" cy="1257300"/>
                            <wp:effectExtent l="0" t="0" r="9525" b="0"/>
                            <wp:docPr id="1" name="Picture 1" descr="occ_bl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cc_bl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4367A" w:rsidRDefault="00F4367A">
      <w:pPr>
        <w:jc w:val="right"/>
        <w:rPr>
          <w:b/>
          <w:bCs/>
        </w:rPr>
      </w:pPr>
    </w:p>
    <w:p w:rsidR="00F4367A" w:rsidRDefault="00F4367A">
      <w:pPr>
        <w:jc w:val="right"/>
      </w:pPr>
    </w:p>
    <w:p w:rsidR="00F4367A" w:rsidRDefault="00F4367A">
      <w:pPr>
        <w:tabs>
          <w:tab w:val="left" w:pos="2160"/>
        </w:tabs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 xml:space="preserve">                                                                    </w:t>
      </w:r>
    </w:p>
    <w:p w:rsidR="00F4367A" w:rsidRDefault="00F4367A">
      <w:pPr>
        <w:tabs>
          <w:tab w:val="left" w:pos="2160"/>
        </w:tabs>
        <w:rPr>
          <w:rFonts w:cs="Arial"/>
          <w:b/>
          <w:bCs/>
        </w:rPr>
      </w:pPr>
      <w:r>
        <w:rPr>
          <w:rFonts w:cs="Arial"/>
          <w:b/>
          <w:bCs/>
        </w:rPr>
        <w:t xml:space="preserve">To: </w:t>
      </w:r>
      <w:r w:rsidR="00D83036">
        <w:rPr>
          <w:rFonts w:cs="Arial"/>
          <w:b/>
          <w:bCs/>
        </w:rPr>
        <w:t>City Executive Board</w:t>
      </w:r>
      <w:r>
        <w:rPr>
          <w:rFonts w:cs="Arial"/>
          <w:b/>
          <w:bCs/>
        </w:rPr>
        <w:tab/>
      </w:r>
    </w:p>
    <w:p w:rsidR="00F4367A" w:rsidRDefault="00F4367A">
      <w:pPr>
        <w:rPr>
          <w:rFonts w:cs="Arial"/>
          <w:b/>
          <w:bCs/>
        </w:rPr>
      </w:pPr>
    </w:p>
    <w:p w:rsidR="00F4367A" w:rsidRDefault="00F4367A">
      <w:pPr>
        <w:tabs>
          <w:tab w:val="left" w:pos="2160"/>
          <w:tab w:val="left" w:pos="6300"/>
          <w:tab w:val="left" w:pos="7380"/>
        </w:tabs>
        <w:rPr>
          <w:rFonts w:cs="Arial"/>
          <w:b/>
          <w:bCs/>
        </w:rPr>
      </w:pPr>
      <w:r>
        <w:rPr>
          <w:rFonts w:cs="Arial"/>
          <w:b/>
          <w:bCs/>
        </w:rPr>
        <w:t>Date:</w:t>
      </w:r>
      <w:r w:rsidR="00413AE2">
        <w:rPr>
          <w:rFonts w:cs="Arial"/>
          <w:b/>
          <w:bCs/>
        </w:rPr>
        <w:t xml:space="preserve"> </w:t>
      </w:r>
      <w:r w:rsidR="00D83036">
        <w:rPr>
          <w:rFonts w:cs="Arial"/>
          <w:b/>
          <w:bCs/>
        </w:rPr>
        <w:t>10</w:t>
      </w:r>
      <w:r w:rsidR="00796546">
        <w:rPr>
          <w:rFonts w:cs="Arial"/>
          <w:b/>
          <w:bCs/>
        </w:rPr>
        <w:t xml:space="preserve"> September</w:t>
      </w:r>
      <w:r w:rsidR="009F60FD">
        <w:rPr>
          <w:rFonts w:cs="Arial"/>
          <w:b/>
          <w:bCs/>
        </w:rPr>
        <w:t xml:space="preserve"> 2015</w:t>
      </w:r>
      <w:r>
        <w:rPr>
          <w:rFonts w:cs="Arial"/>
          <w:b/>
          <w:bCs/>
        </w:rPr>
        <w:tab/>
        <w:t xml:space="preserve">       </w:t>
      </w:r>
      <w:r>
        <w:rPr>
          <w:rFonts w:cs="Arial"/>
          <w:b/>
          <w:bCs/>
        </w:rPr>
        <w:tab/>
        <w:t xml:space="preserve">   </w:t>
      </w:r>
      <w:r>
        <w:rPr>
          <w:rFonts w:cs="Arial"/>
          <w:b/>
          <w:bCs/>
        </w:rPr>
        <w:tab/>
      </w:r>
    </w:p>
    <w:p w:rsidR="00F4367A" w:rsidRDefault="00F4367A">
      <w:pPr>
        <w:jc w:val="right"/>
        <w:rPr>
          <w:rFonts w:cs="Arial"/>
          <w:b/>
          <w:bCs/>
        </w:rPr>
      </w:pPr>
    </w:p>
    <w:p w:rsidR="00F4367A" w:rsidRDefault="00F4367A">
      <w:pPr>
        <w:rPr>
          <w:rFonts w:cs="Arial"/>
          <w:b/>
          <w:bCs/>
        </w:rPr>
      </w:pPr>
      <w:r>
        <w:rPr>
          <w:rFonts w:cs="Arial"/>
          <w:b/>
          <w:bCs/>
        </w:rPr>
        <w:t>Report of:</w:t>
      </w:r>
      <w:r w:rsidR="00875EB7">
        <w:rPr>
          <w:rFonts w:cs="Arial"/>
          <w:b/>
          <w:bCs/>
        </w:rPr>
        <w:t xml:space="preserve"> </w:t>
      </w:r>
      <w:r w:rsidR="00D83036">
        <w:rPr>
          <w:rFonts w:cs="Arial"/>
          <w:b/>
          <w:bCs/>
        </w:rPr>
        <w:t>Scrutiny Committee</w:t>
      </w:r>
    </w:p>
    <w:p w:rsidR="00F4367A" w:rsidRDefault="00F4367A">
      <w:pPr>
        <w:tabs>
          <w:tab w:val="left" w:pos="2160"/>
        </w:tabs>
        <w:rPr>
          <w:rFonts w:cs="Arial"/>
          <w:b/>
          <w:bCs/>
        </w:rPr>
      </w:pPr>
    </w:p>
    <w:p w:rsidR="00B9000A" w:rsidRDefault="00F4367A">
      <w:pPr>
        <w:tabs>
          <w:tab w:val="left" w:pos="2160"/>
        </w:tabs>
        <w:rPr>
          <w:rFonts w:cs="Arial"/>
          <w:b/>
          <w:bCs/>
        </w:rPr>
      </w:pPr>
      <w:r>
        <w:rPr>
          <w:rFonts w:cs="Arial"/>
          <w:b/>
          <w:bCs/>
        </w:rPr>
        <w:t>Title of Report:</w:t>
      </w:r>
      <w:r w:rsidR="00C16EA7">
        <w:rPr>
          <w:rFonts w:cs="Arial"/>
          <w:b/>
          <w:bCs/>
        </w:rPr>
        <w:t xml:space="preserve"> </w:t>
      </w:r>
      <w:r w:rsidR="00D83036">
        <w:rPr>
          <w:rFonts w:cs="Arial"/>
          <w:b/>
          <w:bCs/>
        </w:rPr>
        <w:t>Report of the Waste Water Flooding Panel</w:t>
      </w:r>
    </w:p>
    <w:p w:rsidR="00796546" w:rsidRDefault="00796546">
      <w:pPr>
        <w:tabs>
          <w:tab w:val="left" w:pos="2160"/>
        </w:tabs>
        <w:rPr>
          <w:rFonts w:cs="Arial"/>
          <w:b/>
          <w:bCs/>
        </w:rPr>
      </w:pPr>
    </w:p>
    <w:p w:rsidR="00D16689" w:rsidRDefault="00D16689" w:rsidP="00E34E7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u w:val="single"/>
        </w:rPr>
      </w:pPr>
    </w:p>
    <w:p w:rsidR="00F4367A" w:rsidRDefault="00F4367A" w:rsidP="00E34E7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u w:val="single"/>
        </w:rPr>
      </w:pPr>
      <w:r>
        <w:rPr>
          <w:u w:val="single"/>
        </w:rPr>
        <w:t>Summary and Recommendations</w:t>
      </w:r>
    </w:p>
    <w:p w:rsidR="00F4367A" w:rsidRDefault="00F4367A" w:rsidP="00E34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F4367A" w:rsidRDefault="00F4367A" w:rsidP="00E34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  <w:b/>
          <w:bCs/>
        </w:rPr>
        <w:t>Purpose of report</w:t>
      </w:r>
      <w:r w:rsidRPr="00DC7135">
        <w:rPr>
          <w:rFonts w:cs="Arial"/>
          <w:b/>
        </w:rPr>
        <w:t>:</w:t>
      </w:r>
      <w:r w:rsidR="00E067DE">
        <w:rPr>
          <w:rFonts w:cs="Arial"/>
        </w:rPr>
        <w:t xml:space="preserve"> </w:t>
      </w:r>
      <w:r w:rsidR="00D16689" w:rsidRPr="00D16689">
        <w:rPr>
          <w:rFonts w:cs="Arial"/>
        </w:rPr>
        <w:t xml:space="preserve">To </w:t>
      </w:r>
      <w:r w:rsidR="00D83036">
        <w:rPr>
          <w:rFonts w:cs="Arial"/>
        </w:rPr>
        <w:t xml:space="preserve">update members and present </w:t>
      </w:r>
      <w:r w:rsidR="009910CD">
        <w:rPr>
          <w:rFonts w:cs="Arial"/>
        </w:rPr>
        <w:t xml:space="preserve">a </w:t>
      </w:r>
      <w:r w:rsidR="00D83036">
        <w:rPr>
          <w:rFonts w:cs="Arial"/>
        </w:rPr>
        <w:t>recommendation of the Scrutiny Committee following</w:t>
      </w:r>
      <w:r w:rsidR="00796546">
        <w:rPr>
          <w:rFonts w:cs="Arial"/>
        </w:rPr>
        <w:t xml:space="preserve"> the </w:t>
      </w:r>
      <w:r w:rsidR="00D83036">
        <w:rPr>
          <w:rFonts w:cs="Arial"/>
        </w:rPr>
        <w:t xml:space="preserve">Waste Water </w:t>
      </w:r>
      <w:r w:rsidR="00796546">
        <w:rPr>
          <w:rFonts w:cs="Arial"/>
        </w:rPr>
        <w:t xml:space="preserve">Flooding Panel’s recent engagement with Thames Water </w:t>
      </w:r>
      <w:r w:rsidR="00F44FFD">
        <w:rPr>
          <w:rFonts w:cs="Arial"/>
        </w:rPr>
        <w:t xml:space="preserve">Utilities </w:t>
      </w:r>
      <w:r w:rsidR="00796546">
        <w:rPr>
          <w:rFonts w:cs="Arial"/>
        </w:rPr>
        <w:t>on the</w:t>
      </w:r>
      <w:r w:rsidR="00F44FFD">
        <w:rPr>
          <w:rFonts w:cs="Arial"/>
        </w:rPr>
        <w:t xml:space="preserve"> progress of the</w:t>
      </w:r>
      <w:r w:rsidR="00796546">
        <w:rPr>
          <w:rFonts w:cs="Arial"/>
        </w:rPr>
        <w:t xml:space="preserve"> Oxford Catchment Study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875EB7" w:rsidRDefault="00E067DE" w:rsidP="00E34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  <w:b/>
        </w:rPr>
        <w:t>Scrutiny Lead Member</w:t>
      </w:r>
      <w:r w:rsidR="00875EB7" w:rsidRPr="00875EB7">
        <w:rPr>
          <w:rFonts w:cs="Arial"/>
          <w:b/>
        </w:rPr>
        <w:t xml:space="preserve">: </w:t>
      </w:r>
      <w:r w:rsidR="00A90F0B" w:rsidRPr="00D16689">
        <w:rPr>
          <w:rFonts w:cs="Arial"/>
        </w:rPr>
        <w:t>Councillor</w:t>
      </w:r>
      <w:r w:rsidR="007D4010">
        <w:rPr>
          <w:rFonts w:cs="Arial"/>
        </w:rPr>
        <w:t xml:space="preserve"> </w:t>
      </w:r>
      <w:r w:rsidR="00DC7135">
        <w:rPr>
          <w:rFonts w:cs="Arial"/>
        </w:rPr>
        <w:t xml:space="preserve">Roy </w:t>
      </w:r>
      <w:r w:rsidR="00796546">
        <w:rPr>
          <w:rFonts w:cs="Arial"/>
        </w:rPr>
        <w:t>Darke</w:t>
      </w:r>
    </w:p>
    <w:p w:rsidR="00DC7135" w:rsidRDefault="00DC7135" w:rsidP="00E34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DC7135" w:rsidRPr="00DC7135" w:rsidRDefault="00DC7135" w:rsidP="00E34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  <w:b/>
        </w:rPr>
        <w:t>Executive Lead Member:</w:t>
      </w:r>
      <w:r>
        <w:rPr>
          <w:rFonts w:cs="Arial"/>
        </w:rPr>
        <w:t xml:space="preserve"> Councillor Bob Price, Leader and Executive Member for Corporate Strategy and Economic Development</w:t>
      </w:r>
    </w:p>
    <w:p w:rsidR="00875EB7" w:rsidRDefault="00875EB7" w:rsidP="00E34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AB7241" w:rsidRPr="00AB7241" w:rsidRDefault="00AB7241" w:rsidP="00E34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  <w:b/>
        </w:rPr>
        <w:t xml:space="preserve">Policy Framework: </w:t>
      </w:r>
      <w:r>
        <w:rPr>
          <w:rFonts w:cs="Arial"/>
        </w:rPr>
        <w:t>Corporate Plan 2015-2019</w:t>
      </w:r>
    </w:p>
    <w:p w:rsidR="00AB7241" w:rsidRDefault="00AB7241" w:rsidP="00E34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796546" w:rsidRDefault="008B5AA6" w:rsidP="00E34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  <w:r>
        <w:rPr>
          <w:rFonts w:cs="Arial"/>
          <w:b/>
          <w:bCs/>
        </w:rPr>
        <w:t>R</w:t>
      </w:r>
      <w:r w:rsidR="00796546">
        <w:rPr>
          <w:rFonts w:cs="Arial"/>
          <w:b/>
          <w:bCs/>
        </w:rPr>
        <w:t xml:space="preserve">ecommendation </w:t>
      </w:r>
      <w:r w:rsidR="00AB7241" w:rsidRPr="00AB7241">
        <w:rPr>
          <w:rFonts w:cs="Arial"/>
          <w:bCs/>
        </w:rPr>
        <w:t>of t</w:t>
      </w:r>
      <w:r w:rsidR="00796546" w:rsidRPr="00AB7241">
        <w:rPr>
          <w:rFonts w:cs="Arial"/>
          <w:bCs/>
        </w:rPr>
        <w:t>he Scrutiny Committee</w:t>
      </w:r>
      <w:r w:rsidR="00796546">
        <w:rPr>
          <w:rFonts w:cs="Arial"/>
          <w:bCs/>
        </w:rPr>
        <w:t xml:space="preserve"> </w:t>
      </w:r>
      <w:r w:rsidR="00AB7241">
        <w:rPr>
          <w:rFonts w:cs="Arial"/>
          <w:bCs/>
        </w:rPr>
        <w:t>to the City Executive Board:</w:t>
      </w:r>
    </w:p>
    <w:p w:rsidR="00AB7241" w:rsidRDefault="00AB7241" w:rsidP="00E34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</w:p>
    <w:p w:rsidR="00D83036" w:rsidRPr="00224C3A" w:rsidRDefault="00D83036" w:rsidP="00D83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</w:rPr>
      </w:pPr>
      <w:r w:rsidRPr="00224C3A">
        <w:rPr>
          <w:rFonts w:cs="Arial"/>
          <w:b/>
          <w:bCs/>
        </w:rPr>
        <w:t xml:space="preserve">That the City Executive Board </w:t>
      </w:r>
      <w:r>
        <w:rPr>
          <w:rFonts w:cs="Arial"/>
          <w:b/>
          <w:bCs/>
        </w:rPr>
        <w:t>states whether it agrees or disagrees with the following recommendation:</w:t>
      </w:r>
    </w:p>
    <w:p w:rsidR="00D83036" w:rsidRDefault="00D83036" w:rsidP="00E34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</w:p>
    <w:p w:rsidR="00AB7241" w:rsidRDefault="00D83036" w:rsidP="00E34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</w:rPr>
      </w:pPr>
      <w:r>
        <w:rPr>
          <w:rFonts w:cs="Arial"/>
          <w:b/>
          <w:bCs/>
        </w:rPr>
        <w:t xml:space="preserve">1. </w:t>
      </w:r>
      <w:r w:rsidR="002A44A1">
        <w:rPr>
          <w:rFonts w:cs="Arial"/>
          <w:b/>
          <w:bCs/>
        </w:rPr>
        <w:t>T</w:t>
      </w:r>
      <w:r w:rsidR="002A44A1" w:rsidRPr="002A44A1">
        <w:rPr>
          <w:rFonts w:cs="Arial"/>
          <w:b/>
          <w:bCs/>
        </w:rPr>
        <w:t xml:space="preserve">hat the City Council continues to engage with Thames Water Utilities (TWU) at a senior level through the Oxford Area Flood Partnership and other appropriate channels.  This should include early engagement in </w:t>
      </w:r>
      <w:r w:rsidR="00834180">
        <w:rPr>
          <w:rFonts w:cs="Arial"/>
          <w:b/>
          <w:bCs/>
        </w:rPr>
        <w:t xml:space="preserve">relation to </w:t>
      </w:r>
      <w:r w:rsidR="002A44A1" w:rsidRPr="002A44A1">
        <w:rPr>
          <w:rFonts w:cs="Arial"/>
          <w:b/>
          <w:bCs/>
        </w:rPr>
        <w:t>future development proposals that affect TWU.</w:t>
      </w:r>
    </w:p>
    <w:p w:rsidR="002A44A1" w:rsidRDefault="002A44A1" w:rsidP="00E34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</w:p>
    <w:p w:rsidR="00D71F03" w:rsidRDefault="00D71F03">
      <w:pPr>
        <w:rPr>
          <w:rFonts w:cs="Arial"/>
          <w:b/>
        </w:rPr>
      </w:pPr>
    </w:p>
    <w:p w:rsidR="00F44FFD" w:rsidRPr="00F44FFD" w:rsidRDefault="00F44FFD" w:rsidP="00F44FFD">
      <w:pPr>
        <w:rPr>
          <w:rFonts w:cs="Arial"/>
          <w:b/>
        </w:rPr>
      </w:pPr>
      <w:r w:rsidRPr="00F44FFD">
        <w:rPr>
          <w:rFonts w:cs="Arial"/>
          <w:b/>
        </w:rPr>
        <w:t>Background</w:t>
      </w:r>
    </w:p>
    <w:p w:rsidR="00B75CD3" w:rsidRDefault="00B75CD3" w:rsidP="00B75CD3">
      <w:pPr>
        <w:numPr>
          <w:ilvl w:val="0"/>
          <w:numId w:val="16"/>
        </w:numPr>
        <w:rPr>
          <w:rFonts w:cs="Arial"/>
        </w:rPr>
      </w:pPr>
      <w:r>
        <w:rPr>
          <w:rFonts w:cs="Arial"/>
        </w:rPr>
        <w:t xml:space="preserve">The </w:t>
      </w:r>
      <w:r w:rsidR="00D83036">
        <w:rPr>
          <w:rFonts w:cs="Arial"/>
        </w:rPr>
        <w:t xml:space="preserve">Waste Water </w:t>
      </w:r>
      <w:r>
        <w:rPr>
          <w:rFonts w:cs="Arial"/>
        </w:rPr>
        <w:t>Flooding</w:t>
      </w:r>
      <w:r w:rsidRPr="00B67FB3">
        <w:rPr>
          <w:rFonts w:cs="Arial"/>
        </w:rPr>
        <w:t xml:space="preserve"> Panel was set up </w:t>
      </w:r>
      <w:r>
        <w:rPr>
          <w:rFonts w:cs="Arial"/>
        </w:rPr>
        <w:t xml:space="preserve">by the Scrutiny Committee in 2013 </w:t>
      </w:r>
      <w:r w:rsidRPr="00B67FB3">
        <w:rPr>
          <w:rFonts w:cs="Arial"/>
        </w:rPr>
        <w:t xml:space="preserve">with cross party membership to address concerns about sewage flooding across the city.  </w:t>
      </w:r>
      <w:r>
        <w:rPr>
          <w:rFonts w:cs="Arial"/>
        </w:rPr>
        <w:t>The</w:t>
      </w:r>
      <w:r w:rsidR="00F80551">
        <w:rPr>
          <w:rFonts w:cs="Arial"/>
        </w:rPr>
        <w:t xml:space="preserve"> </w:t>
      </w:r>
      <w:r w:rsidR="00571305">
        <w:rPr>
          <w:rFonts w:cs="Arial"/>
        </w:rPr>
        <w:t xml:space="preserve">current </w:t>
      </w:r>
      <w:r>
        <w:rPr>
          <w:rFonts w:cs="Arial"/>
        </w:rPr>
        <w:t xml:space="preserve">members </w:t>
      </w:r>
      <w:r w:rsidR="00F80551">
        <w:rPr>
          <w:rFonts w:cs="Arial"/>
        </w:rPr>
        <w:t xml:space="preserve">of the Panel </w:t>
      </w:r>
      <w:r>
        <w:rPr>
          <w:rFonts w:cs="Arial"/>
        </w:rPr>
        <w:t xml:space="preserve">are Councillors Darke (Chair), Goddard, </w:t>
      </w:r>
      <w:proofErr w:type="spellStart"/>
      <w:r>
        <w:rPr>
          <w:rFonts w:cs="Arial"/>
        </w:rPr>
        <w:t>Pressel</w:t>
      </w:r>
      <w:proofErr w:type="spellEnd"/>
      <w:r>
        <w:rPr>
          <w:rFonts w:cs="Arial"/>
        </w:rPr>
        <w:t xml:space="preserve"> and Thomas.</w:t>
      </w:r>
    </w:p>
    <w:p w:rsidR="00B75CD3" w:rsidRDefault="00B75CD3" w:rsidP="00F44FFD">
      <w:pPr>
        <w:ind w:left="720"/>
        <w:rPr>
          <w:rFonts w:cs="Arial"/>
        </w:rPr>
      </w:pPr>
    </w:p>
    <w:p w:rsidR="00F44FFD" w:rsidRDefault="00F44FFD" w:rsidP="00B67FB3">
      <w:pPr>
        <w:numPr>
          <w:ilvl w:val="0"/>
          <w:numId w:val="16"/>
        </w:numPr>
        <w:rPr>
          <w:rFonts w:cs="Arial"/>
        </w:rPr>
      </w:pPr>
      <w:r>
        <w:rPr>
          <w:rFonts w:cs="Arial"/>
        </w:rPr>
        <w:t>The Panel</w:t>
      </w:r>
      <w:r w:rsidR="00435285">
        <w:rPr>
          <w:rFonts w:cs="Arial"/>
        </w:rPr>
        <w:t xml:space="preserve"> originally</w:t>
      </w:r>
      <w:r>
        <w:rPr>
          <w:rFonts w:cs="Arial"/>
        </w:rPr>
        <w:t xml:space="preserve"> met with representatives of Thames Water Utilities</w:t>
      </w:r>
      <w:r w:rsidR="00B75CD3">
        <w:rPr>
          <w:rFonts w:cs="Arial"/>
        </w:rPr>
        <w:t xml:space="preserve"> (TWU)</w:t>
      </w:r>
      <w:r>
        <w:rPr>
          <w:rFonts w:cs="Arial"/>
        </w:rPr>
        <w:t xml:space="preserve"> on 9 May 2014 where it was agreed that a catchment study of the sewerage system in Oxford would be brought forward.  </w:t>
      </w:r>
      <w:r w:rsidR="00B75CD3">
        <w:rPr>
          <w:rFonts w:cs="Arial"/>
        </w:rPr>
        <w:t>TWU</w:t>
      </w:r>
      <w:r>
        <w:rPr>
          <w:rFonts w:cs="Arial"/>
        </w:rPr>
        <w:t xml:space="preserve"> estimated that it would take</w:t>
      </w:r>
      <w:r w:rsidR="00BF7017">
        <w:rPr>
          <w:rFonts w:cs="Arial"/>
        </w:rPr>
        <w:t xml:space="preserve"> 2</w:t>
      </w:r>
      <w:r>
        <w:rPr>
          <w:rFonts w:cs="Arial"/>
        </w:rPr>
        <w:t xml:space="preserve"> years to get to the point of programming works.  A small pilot study would also take place independently in </w:t>
      </w:r>
      <w:proofErr w:type="spellStart"/>
      <w:r>
        <w:rPr>
          <w:rFonts w:cs="Arial"/>
        </w:rPr>
        <w:t>Grandpont</w:t>
      </w:r>
      <w:proofErr w:type="spellEnd"/>
      <w:r>
        <w:rPr>
          <w:rFonts w:cs="Arial"/>
        </w:rPr>
        <w:t>.</w:t>
      </w:r>
    </w:p>
    <w:p w:rsidR="00F44FFD" w:rsidRDefault="00F44FFD" w:rsidP="00F44FFD">
      <w:pPr>
        <w:pStyle w:val="ListParagraph"/>
        <w:rPr>
          <w:rFonts w:cs="Arial"/>
        </w:rPr>
      </w:pPr>
    </w:p>
    <w:p w:rsidR="006F5F66" w:rsidRDefault="00F44FFD" w:rsidP="006F5F66">
      <w:pPr>
        <w:numPr>
          <w:ilvl w:val="0"/>
          <w:numId w:val="16"/>
        </w:numPr>
        <w:rPr>
          <w:rFonts w:cs="Arial"/>
        </w:rPr>
      </w:pPr>
      <w:r w:rsidRPr="00435285">
        <w:rPr>
          <w:rFonts w:cs="Arial"/>
        </w:rPr>
        <w:lastRenderedPageBreak/>
        <w:t xml:space="preserve">The Panel held a further meeting with representatives of Thames Water Utilities on 16 July 2015 to monitor progress of the </w:t>
      </w:r>
      <w:proofErr w:type="spellStart"/>
      <w:r w:rsidRPr="00435285">
        <w:rPr>
          <w:rFonts w:cs="Arial"/>
        </w:rPr>
        <w:t>Grandpoint</w:t>
      </w:r>
      <w:proofErr w:type="spellEnd"/>
      <w:r w:rsidRPr="00435285">
        <w:rPr>
          <w:rFonts w:cs="Arial"/>
        </w:rPr>
        <w:t xml:space="preserve"> pilot study and the main catchment study.</w:t>
      </w:r>
      <w:r w:rsidR="00296DEB" w:rsidRPr="00435285">
        <w:rPr>
          <w:rFonts w:cs="Arial"/>
        </w:rPr>
        <w:t xml:space="preserve">  </w:t>
      </w:r>
    </w:p>
    <w:p w:rsidR="00435285" w:rsidRDefault="00435285" w:rsidP="00435285">
      <w:pPr>
        <w:pStyle w:val="ListParagraph"/>
        <w:rPr>
          <w:rFonts w:cs="Arial"/>
        </w:rPr>
      </w:pPr>
    </w:p>
    <w:p w:rsidR="00EB6434" w:rsidRPr="00EB6434" w:rsidRDefault="00296DEB" w:rsidP="00EB6434">
      <w:pPr>
        <w:numPr>
          <w:ilvl w:val="0"/>
          <w:numId w:val="16"/>
        </w:numPr>
        <w:rPr>
          <w:rFonts w:cs="Arial"/>
        </w:rPr>
      </w:pPr>
      <w:r>
        <w:rPr>
          <w:rFonts w:cs="Arial"/>
        </w:rPr>
        <w:t xml:space="preserve">The Council’s Interim Head of </w:t>
      </w:r>
      <w:r w:rsidR="00B75CD3">
        <w:rPr>
          <w:rFonts w:cs="Arial"/>
        </w:rPr>
        <w:t xml:space="preserve">Environmental Development </w:t>
      </w:r>
      <w:r>
        <w:rPr>
          <w:rFonts w:cs="Arial"/>
        </w:rPr>
        <w:t>update</w:t>
      </w:r>
      <w:r w:rsidR="00B75CD3">
        <w:rPr>
          <w:rFonts w:cs="Arial"/>
        </w:rPr>
        <w:t>d</w:t>
      </w:r>
      <w:r>
        <w:rPr>
          <w:rFonts w:cs="Arial"/>
        </w:rPr>
        <w:t xml:space="preserve"> the Panel on the </w:t>
      </w:r>
      <w:r w:rsidR="00D71F03">
        <w:rPr>
          <w:rFonts w:cs="Arial"/>
        </w:rPr>
        <w:t>work of the</w:t>
      </w:r>
      <w:r w:rsidR="00F80551">
        <w:rPr>
          <w:rFonts w:cs="Arial"/>
        </w:rPr>
        <w:t xml:space="preserve"> Council</w:t>
      </w:r>
      <w:r w:rsidR="00D83036">
        <w:rPr>
          <w:rFonts w:cs="Arial"/>
        </w:rPr>
        <w:t>’s</w:t>
      </w:r>
      <w:r>
        <w:rPr>
          <w:rFonts w:cs="Arial"/>
        </w:rPr>
        <w:t xml:space="preserve"> Environmental Development service</w:t>
      </w:r>
      <w:r w:rsidR="006F5F66">
        <w:rPr>
          <w:rFonts w:cs="Arial"/>
        </w:rPr>
        <w:t xml:space="preserve"> </w:t>
      </w:r>
      <w:r w:rsidR="00D83036">
        <w:rPr>
          <w:rFonts w:cs="Arial"/>
        </w:rPr>
        <w:t>in relation to</w:t>
      </w:r>
      <w:r w:rsidR="006F5F66">
        <w:rPr>
          <w:rFonts w:cs="Arial"/>
        </w:rPr>
        <w:t xml:space="preserve"> flooding issues</w:t>
      </w:r>
      <w:r>
        <w:rPr>
          <w:rFonts w:cs="Arial"/>
        </w:rPr>
        <w:t xml:space="preserve">, and </w:t>
      </w:r>
      <w:r w:rsidR="006C5527">
        <w:rPr>
          <w:rFonts w:cs="Arial"/>
        </w:rPr>
        <w:t xml:space="preserve">on </w:t>
      </w:r>
      <w:r w:rsidR="00D83036">
        <w:rPr>
          <w:rFonts w:cs="Arial"/>
        </w:rPr>
        <w:t xml:space="preserve">recent </w:t>
      </w:r>
      <w:r w:rsidRPr="0032056F">
        <w:rPr>
          <w:rFonts w:cs="Arial"/>
        </w:rPr>
        <w:t>organisational change</w:t>
      </w:r>
      <w:r w:rsidR="00D83036">
        <w:rPr>
          <w:rFonts w:cs="Arial"/>
        </w:rPr>
        <w:t>s</w:t>
      </w:r>
      <w:r w:rsidRPr="0032056F">
        <w:rPr>
          <w:rFonts w:cs="Arial"/>
        </w:rPr>
        <w:t xml:space="preserve"> at the City Council.</w:t>
      </w:r>
      <w:r w:rsidR="00EB6434" w:rsidRPr="0032056F">
        <w:rPr>
          <w:rFonts w:cs="Arial"/>
        </w:rPr>
        <w:t xml:space="preserve">  </w:t>
      </w:r>
      <w:r w:rsidR="00B13F04" w:rsidRPr="0032056F">
        <w:rPr>
          <w:rFonts w:cs="Arial"/>
        </w:rPr>
        <w:t>Flood-</w:t>
      </w:r>
      <w:r w:rsidR="006F5F66" w:rsidRPr="0032056F">
        <w:rPr>
          <w:rFonts w:cs="Arial"/>
        </w:rPr>
        <w:t>related activities</w:t>
      </w:r>
      <w:r w:rsidR="001575F4" w:rsidRPr="0032056F">
        <w:rPr>
          <w:rFonts w:cs="Arial"/>
        </w:rPr>
        <w:t xml:space="preserve"> </w:t>
      </w:r>
      <w:r w:rsidR="006C5527">
        <w:rPr>
          <w:rFonts w:cs="Arial"/>
        </w:rPr>
        <w:t>we</w:t>
      </w:r>
      <w:r w:rsidR="00B13F04" w:rsidRPr="0032056F">
        <w:rPr>
          <w:rFonts w:cs="Arial"/>
        </w:rPr>
        <w:t>re dealt with by the Environmental Sustainability team</w:t>
      </w:r>
      <w:r w:rsidR="00785F1C" w:rsidRPr="0032056F">
        <w:rPr>
          <w:rFonts w:cs="Arial"/>
        </w:rPr>
        <w:t>, Housing and Direct Services</w:t>
      </w:r>
      <w:r w:rsidR="006F5F66">
        <w:rPr>
          <w:rFonts w:cs="Arial"/>
        </w:rPr>
        <w:t>.</w:t>
      </w:r>
    </w:p>
    <w:p w:rsidR="00F44FFD" w:rsidRDefault="00F44FFD" w:rsidP="00F44FFD">
      <w:pPr>
        <w:pStyle w:val="ListParagraph"/>
        <w:rPr>
          <w:rFonts w:cs="Arial"/>
        </w:rPr>
      </w:pPr>
    </w:p>
    <w:p w:rsidR="00F44FFD" w:rsidRPr="00B67FB3" w:rsidRDefault="00F44FFD" w:rsidP="00B67FB3">
      <w:pPr>
        <w:numPr>
          <w:ilvl w:val="0"/>
          <w:numId w:val="16"/>
        </w:numPr>
        <w:rPr>
          <w:rFonts w:cs="Arial"/>
        </w:rPr>
      </w:pPr>
      <w:r>
        <w:rPr>
          <w:rFonts w:cs="Arial"/>
        </w:rPr>
        <w:t xml:space="preserve">Both meetings were attended by Andrew Smith MP, a representative of Nicola Blackwood MP and a </w:t>
      </w:r>
      <w:r w:rsidR="00B75CD3">
        <w:rPr>
          <w:rFonts w:cs="Arial"/>
        </w:rPr>
        <w:t>member</w:t>
      </w:r>
      <w:r>
        <w:rPr>
          <w:rFonts w:cs="Arial"/>
        </w:rPr>
        <w:t xml:space="preserve"> of Oxford Flood Alliance.  </w:t>
      </w:r>
    </w:p>
    <w:p w:rsidR="002A44A1" w:rsidRPr="00E34E79" w:rsidRDefault="002A44A1" w:rsidP="00E34E79">
      <w:pPr>
        <w:ind w:left="360"/>
        <w:rPr>
          <w:rFonts w:cs="Arial"/>
          <w:b/>
        </w:rPr>
      </w:pPr>
    </w:p>
    <w:p w:rsidR="00875FAF" w:rsidRDefault="00D71F03" w:rsidP="00C414BB">
      <w:pPr>
        <w:rPr>
          <w:rFonts w:cs="Arial"/>
          <w:b/>
        </w:rPr>
      </w:pPr>
      <w:proofErr w:type="spellStart"/>
      <w:r>
        <w:rPr>
          <w:rFonts w:cs="Arial"/>
          <w:b/>
        </w:rPr>
        <w:t>Grandpont</w:t>
      </w:r>
      <w:proofErr w:type="spellEnd"/>
      <w:r>
        <w:rPr>
          <w:rFonts w:cs="Arial"/>
          <w:b/>
        </w:rPr>
        <w:t xml:space="preserve"> study</w:t>
      </w:r>
    </w:p>
    <w:p w:rsidR="00960D42" w:rsidRPr="00B13F04" w:rsidRDefault="00960D42" w:rsidP="00D71F03">
      <w:pPr>
        <w:numPr>
          <w:ilvl w:val="0"/>
          <w:numId w:val="16"/>
        </w:numPr>
        <w:rPr>
          <w:rFonts w:cs="Arial"/>
        </w:rPr>
      </w:pPr>
      <w:r w:rsidRPr="00B13F04">
        <w:rPr>
          <w:rFonts w:cs="Arial"/>
        </w:rPr>
        <w:t xml:space="preserve">With the support of partners including Oxford City Council, TWU led on work </w:t>
      </w:r>
      <w:r w:rsidR="00B13F04">
        <w:rPr>
          <w:rFonts w:cs="Arial"/>
        </w:rPr>
        <w:t>investigating</w:t>
      </w:r>
      <w:r w:rsidRPr="00B13F04">
        <w:rPr>
          <w:rFonts w:cs="Arial"/>
        </w:rPr>
        <w:t xml:space="preserve"> </w:t>
      </w:r>
      <w:r w:rsidR="00D71F03" w:rsidRPr="00B13F04">
        <w:rPr>
          <w:rFonts w:cs="Arial"/>
        </w:rPr>
        <w:t xml:space="preserve">the most likely causes of </w:t>
      </w:r>
      <w:r w:rsidR="00284C3C" w:rsidRPr="00B13F04">
        <w:rPr>
          <w:rFonts w:cs="Arial"/>
        </w:rPr>
        <w:t xml:space="preserve">sewer </w:t>
      </w:r>
      <w:r w:rsidR="00D71F03" w:rsidRPr="00B13F04">
        <w:rPr>
          <w:rFonts w:cs="Arial"/>
        </w:rPr>
        <w:t>flood</w:t>
      </w:r>
      <w:r w:rsidR="00284C3C" w:rsidRPr="00B13F04">
        <w:rPr>
          <w:rFonts w:cs="Arial"/>
        </w:rPr>
        <w:t>ing</w:t>
      </w:r>
      <w:r w:rsidR="00D71F03" w:rsidRPr="00B13F04">
        <w:rPr>
          <w:rFonts w:cs="Arial"/>
        </w:rPr>
        <w:t xml:space="preserve"> experienced</w:t>
      </w:r>
      <w:r w:rsidR="00284C3C" w:rsidRPr="00B13F04">
        <w:rPr>
          <w:rFonts w:cs="Arial"/>
        </w:rPr>
        <w:t xml:space="preserve"> at </w:t>
      </w:r>
      <w:proofErr w:type="spellStart"/>
      <w:r w:rsidR="00284C3C" w:rsidRPr="00B13F04">
        <w:rPr>
          <w:rFonts w:cs="Arial"/>
        </w:rPr>
        <w:t>Grandpont</w:t>
      </w:r>
      <w:proofErr w:type="spellEnd"/>
      <w:r w:rsidR="00D71F03" w:rsidRPr="00B13F04">
        <w:rPr>
          <w:rFonts w:cs="Arial"/>
        </w:rPr>
        <w:t xml:space="preserve">.  </w:t>
      </w:r>
    </w:p>
    <w:p w:rsidR="00D71F03" w:rsidRPr="00B13F04" w:rsidRDefault="00D71F03" w:rsidP="00D71F03">
      <w:pPr>
        <w:ind w:left="720"/>
        <w:rPr>
          <w:rFonts w:cs="Arial"/>
        </w:rPr>
      </w:pPr>
    </w:p>
    <w:p w:rsidR="00960D42" w:rsidRPr="00006550" w:rsidRDefault="00B13F04" w:rsidP="00006550">
      <w:pPr>
        <w:pStyle w:val="BodyText"/>
        <w:numPr>
          <w:ilvl w:val="0"/>
          <w:numId w:val="16"/>
        </w:numPr>
        <w:spacing w:before="0"/>
        <w:jc w:val="left"/>
        <w:rPr>
          <w:sz w:val="24"/>
          <w:szCs w:val="24"/>
        </w:rPr>
      </w:pPr>
      <w:r w:rsidRPr="00006550">
        <w:rPr>
          <w:sz w:val="24"/>
          <w:szCs w:val="24"/>
        </w:rPr>
        <w:t>A</w:t>
      </w:r>
      <w:r w:rsidR="00960D42" w:rsidRPr="00006550">
        <w:rPr>
          <w:sz w:val="24"/>
          <w:szCs w:val="24"/>
        </w:rPr>
        <w:t xml:space="preserve"> c</w:t>
      </w:r>
      <w:r w:rsidRPr="00006550">
        <w:rPr>
          <w:sz w:val="24"/>
          <w:szCs w:val="24"/>
        </w:rPr>
        <w:t xml:space="preserve">ondition survey of the </w:t>
      </w:r>
      <w:r w:rsidR="00785F1C" w:rsidRPr="00006550">
        <w:rPr>
          <w:sz w:val="24"/>
          <w:szCs w:val="24"/>
        </w:rPr>
        <w:t xml:space="preserve">sewerage </w:t>
      </w:r>
      <w:r w:rsidRPr="00006550">
        <w:rPr>
          <w:sz w:val="24"/>
          <w:szCs w:val="24"/>
        </w:rPr>
        <w:t>infrastructure</w:t>
      </w:r>
      <w:r w:rsidR="00960D42" w:rsidRPr="00006550">
        <w:rPr>
          <w:sz w:val="24"/>
          <w:szCs w:val="24"/>
        </w:rPr>
        <w:t xml:space="preserve"> and network indicate</w:t>
      </w:r>
      <w:r w:rsidR="00AF0E51">
        <w:rPr>
          <w:sz w:val="24"/>
          <w:szCs w:val="24"/>
        </w:rPr>
        <w:t>d</w:t>
      </w:r>
      <w:r w:rsidR="00960D42" w:rsidRPr="00006550">
        <w:rPr>
          <w:sz w:val="24"/>
          <w:szCs w:val="24"/>
        </w:rPr>
        <w:t xml:space="preserve"> </w:t>
      </w:r>
      <w:r w:rsidRPr="00006550">
        <w:rPr>
          <w:sz w:val="24"/>
          <w:szCs w:val="24"/>
        </w:rPr>
        <w:t xml:space="preserve">that it </w:t>
      </w:r>
      <w:r w:rsidR="00AF0E51">
        <w:rPr>
          <w:sz w:val="24"/>
          <w:szCs w:val="24"/>
        </w:rPr>
        <w:t xml:space="preserve">was </w:t>
      </w:r>
      <w:r w:rsidR="00960D42" w:rsidRPr="00006550">
        <w:rPr>
          <w:sz w:val="24"/>
          <w:szCs w:val="24"/>
        </w:rPr>
        <w:t>generally in good condition</w:t>
      </w:r>
      <w:r w:rsidRPr="00006550">
        <w:rPr>
          <w:sz w:val="24"/>
          <w:szCs w:val="24"/>
        </w:rPr>
        <w:t>.</w:t>
      </w:r>
      <w:r w:rsidR="00960D42" w:rsidRPr="00006550">
        <w:rPr>
          <w:sz w:val="24"/>
          <w:szCs w:val="24"/>
        </w:rPr>
        <w:t xml:space="preserve"> </w:t>
      </w:r>
      <w:r w:rsidR="00006550">
        <w:rPr>
          <w:sz w:val="24"/>
          <w:szCs w:val="24"/>
        </w:rPr>
        <w:t xml:space="preserve"> </w:t>
      </w:r>
      <w:r w:rsidRPr="00006550">
        <w:rPr>
          <w:sz w:val="24"/>
          <w:szCs w:val="24"/>
        </w:rPr>
        <w:t>T</w:t>
      </w:r>
      <w:r w:rsidR="00960D42" w:rsidRPr="00006550">
        <w:rPr>
          <w:sz w:val="24"/>
          <w:szCs w:val="24"/>
        </w:rPr>
        <w:t xml:space="preserve">here </w:t>
      </w:r>
      <w:r w:rsidR="00AF0E51">
        <w:rPr>
          <w:sz w:val="24"/>
          <w:szCs w:val="24"/>
        </w:rPr>
        <w:t>wa</w:t>
      </w:r>
      <w:r w:rsidR="00960D42" w:rsidRPr="00006550">
        <w:rPr>
          <w:sz w:val="24"/>
          <w:szCs w:val="24"/>
        </w:rPr>
        <w:t>s little evidence to suggest that the state of the sewerage system</w:t>
      </w:r>
      <w:r w:rsidR="00AF0E51">
        <w:rPr>
          <w:sz w:val="24"/>
          <w:szCs w:val="24"/>
        </w:rPr>
        <w:t xml:space="preserve"> was</w:t>
      </w:r>
      <w:r w:rsidR="00960D42" w:rsidRPr="00006550">
        <w:rPr>
          <w:sz w:val="24"/>
          <w:szCs w:val="24"/>
        </w:rPr>
        <w:t xml:space="preserve"> </w:t>
      </w:r>
      <w:r w:rsidRPr="00006550">
        <w:rPr>
          <w:sz w:val="24"/>
          <w:szCs w:val="24"/>
        </w:rPr>
        <w:t xml:space="preserve">the primary </w:t>
      </w:r>
      <w:r w:rsidR="00960D42" w:rsidRPr="00006550">
        <w:rPr>
          <w:sz w:val="24"/>
          <w:szCs w:val="24"/>
        </w:rPr>
        <w:t>factor in the flooding.</w:t>
      </w:r>
    </w:p>
    <w:p w:rsidR="00960D42" w:rsidRPr="00006550" w:rsidRDefault="00AF0E51" w:rsidP="00006550">
      <w:pPr>
        <w:pStyle w:val="BodyText"/>
        <w:numPr>
          <w:ilvl w:val="0"/>
          <w:numId w:val="16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The study </w:t>
      </w:r>
      <w:r w:rsidR="00960D42" w:rsidRPr="00006550">
        <w:rPr>
          <w:sz w:val="24"/>
          <w:szCs w:val="24"/>
        </w:rPr>
        <w:t>focus</w:t>
      </w:r>
      <w:r>
        <w:rPr>
          <w:sz w:val="24"/>
          <w:szCs w:val="24"/>
        </w:rPr>
        <w:t>ed</w:t>
      </w:r>
      <w:r w:rsidR="00960D42" w:rsidRPr="00006550">
        <w:rPr>
          <w:sz w:val="24"/>
          <w:szCs w:val="24"/>
        </w:rPr>
        <w:t xml:space="preserve"> on the </w:t>
      </w:r>
      <w:r w:rsidR="00B13F04" w:rsidRPr="00006550">
        <w:rPr>
          <w:sz w:val="24"/>
          <w:szCs w:val="24"/>
        </w:rPr>
        <w:t>possible</w:t>
      </w:r>
      <w:r w:rsidR="00960D42" w:rsidRPr="00006550">
        <w:rPr>
          <w:sz w:val="24"/>
          <w:szCs w:val="24"/>
        </w:rPr>
        <w:t xml:space="preserve"> role of private groundwater flood protection devices (sump pumps), which </w:t>
      </w:r>
      <w:r>
        <w:rPr>
          <w:sz w:val="24"/>
          <w:szCs w:val="24"/>
        </w:rPr>
        <w:t>we</w:t>
      </w:r>
      <w:r w:rsidR="00960D42" w:rsidRPr="00006550">
        <w:rPr>
          <w:sz w:val="24"/>
          <w:szCs w:val="24"/>
        </w:rPr>
        <w:t>re known to exist in the area. If</w:t>
      </w:r>
      <w:r w:rsidR="00B13F04" w:rsidRPr="00006550">
        <w:rPr>
          <w:sz w:val="24"/>
          <w:szCs w:val="24"/>
        </w:rPr>
        <w:t>, for example,</w:t>
      </w:r>
      <w:r w:rsidR="00960D42" w:rsidRPr="00006550">
        <w:rPr>
          <w:sz w:val="24"/>
          <w:szCs w:val="24"/>
        </w:rPr>
        <w:t xml:space="preserve"> they </w:t>
      </w:r>
      <w:r>
        <w:rPr>
          <w:sz w:val="24"/>
          <w:szCs w:val="24"/>
        </w:rPr>
        <w:t>we</w:t>
      </w:r>
      <w:r w:rsidR="00960D42" w:rsidRPr="00006550">
        <w:rPr>
          <w:sz w:val="24"/>
          <w:szCs w:val="24"/>
        </w:rPr>
        <w:t xml:space="preserve">re </w:t>
      </w:r>
      <w:r w:rsidR="00B13F04" w:rsidRPr="00006550">
        <w:rPr>
          <w:sz w:val="24"/>
          <w:szCs w:val="24"/>
        </w:rPr>
        <w:t xml:space="preserve">incorrectly connected to the foul sewer, </w:t>
      </w:r>
      <w:r w:rsidR="00785F1C" w:rsidRPr="00006550">
        <w:rPr>
          <w:sz w:val="24"/>
          <w:szCs w:val="24"/>
        </w:rPr>
        <w:t xml:space="preserve">instead of the </w:t>
      </w:r>
      <w:r w:rsidR="00960D42" w:rsidRPr="00006550">
        <w:rPr>
          <w:sz w:val="24"/>
          <w:szCs w:val="24"/>
        </w:rPr>
        <w:t xml:space="preserve">surface water network, flood water </w:t>
      </w:r>
      <w:r w:rsidR="00B13F04" w:rsidRPr="00006550">
        <w:rPr>
          <w:sz w:val="24"/>
          <w:szCs w:val="24"/>
        </w:rPr>
        <w:t>w</w:t>
      </w:r>
      <w:r>
        <w:rPr>
          <w:sz w:val="24"/>
          <w:szCs w:val="24"/>
        </w:rPr>
        <w:t>ould</w:t>
      </w:r>
      <w:r w:rsidR="00B13F04" w:rsidRPr="00006550">
        <w:rPr>
          <w:sz w:val="24"/>
          <w:szCs w:val="24"/>
        </w:rPr>
        <w:t xml:space="preserve"> quickly overwhelm the </w:t>
      </w:r>
      <w:r w:rsidR="00785F1C" w:rsidRPr="00006550">
        <w:rPr>
          <w:sz w:val="24"/>
          <w:szCs w:val="24"/>
        </w:rPr>
        <w:t xml:space="preserve">sewerage </w:t>
      </w:r>
      <w:r w:rsidR="00B13F04" w:rsidRPr="00006550">
        <w:rPr>
          <w:sz w:val="24"/>
          <w:szCs w:val="24"/>
        </w:rPr>
        <w:t>network</w:t>
      </w:r>
      <w:r w:rsidR="00960D42" w:rsidRPr="00006550">
        <w:rPr>
          <w:sz w:val="24"/>
          <w:szCs w:val="24"/>
        </w:rPr>
        <w:t xml:space="preserve"> with the </w:t>
      </w:r>
      <w:r w:rsidR="00785F1C" w:rsidRPr="00006550">
        <w:rPr>
          <w:sz w:val="24"/>
          <w:szCs w:val="24"/>
        </w:rPr>
        <w:t xml:space="preserve">unpleasant </w:t>
      </w:r>
      <w:r w:rsidR="00960D42" w:rsidRPr="00006550">
        <w:rPr>
          <w:sz w:val="24"/>
          <w:szCs w:val="24"/>
        </w:rPr>
        <w:t xml:space="preserve">result of raw sewage entering properties. </w:t>
      </w:r>
    </w:p>
    <w:p w:rsidR="00960D42" w:rsidRPr="00006550" w:rsidRDefault="00960D42" w:rsidP="00960D42">
      <w:pPr>
        <w:rPr>
          <w:b/>
        </w:rPr>
      </w:pPr>
    </w:p>
    <w:p w:rsidR="00960D42" w:rsidRPr="00006550" w:rsidRDefault="00AF0E51" w:rsidP="00960D42">
      <w:pPr>
        <w:pStyle w:val="ListParagraph"/>
        <w:numPr>
          <w:ilvl w:val="0"/>
          <w:numId w:val="16"/>
        </w:numPr>
        <w:contextualSpacing/>
      </w:pPr>
      <w:r>
        <w:t>To determine whether this wa</w:t>
      </w:r>
      <w:r w:rsidR="00B13F04" w:rsidRPr="00006550">
        <w:t xml:space="preserve">s the </w:t>
      </w:r>
      <w:r w:rsidR="00960D42" w:rsidRPr="00006550">
        <w:t xml:space="preserve">mechanism for </w:t>
      </w:r>
      <w:r w:rsidR="00B13F04" w:rsidRPr="00006550">
        <w:t xml:space="preserve">basement </w:t>
      </w:r>
      <w:r w:rsidR="00960D42" w:rsidRPr="00006550">
        <w:t>flooding</w:t>
      </w:r>
      <w:r w:rsidR="00B13F04" w:rsidRPr="00006550">
        <w:t xml:space="preserve">, further investigation </w:t>
      </w:r>
      <w:r>
        <w:t>wa</w:t>
      </w:r>
      <w:r w:rsidR="00B13F04" w:rsidRPr="00006550">
        <w:t>s needed.</w:t>
      </w:r>
      <w:r w:rsidR="00006550">
        <w:t xml:space="preserve"> </w:t>
      </w:r>
      <w:r w:rsidR="00B13F04" w:rsidRPr="00006550">
        <w:t xml:space="preserve"> Residents received </w:t>
      </w:r>
      <w:r w:rsidR="00EF59F1" w:rsidRPr="00006550">
        <w:t>an update on</w:t>
      </w:r>
      <w:r w:rsidR="00B13F04" w:rsidRPr="00006550">
        <w:t xml:space="preserve"> the study, and TWU </w:t>
      </w:r>
      <w:r>
        <w:t>wa</w:t>
      </w:r>
      <w:r w:rsidR="00006550">
        <w:t>s</w:t>
      </w:r>
      <w:r w:rsidR="00B13F04" w:rsidRPr="00006550">
        <w:t xml:space="preserve"> working with </w:t>
      </w:r>
      <w:r w:rsidR="00EF59F1" w:rsidRPr="00006550">
        <w:t>the community</w:t>
      </w:r>
      <w:r w:rsidR="00B13F04" w:rsidRPr="00006550">
        <w:t xml:space="preserve"> to ensure sump </w:t>
      </w:r>
      <w:r w:rsidR="00EF59F1" w:rsidRPr="00006550">
        <w:t>pumps</w:t>
      </w:r>
      <w:r>
        <w:t xml:space="preserve"> we</w:t>
      </w:r>
      <w:r w:rsidR="00B13F04" w:rsidRPr="00006550">
        <w:t>re correctly connected.</w:t>
      </w:r>
    </w:p>
    <w:p w:rsidR="00960D42" w:rsidRPr="00006550" w:rsidRDefault="00960D42" w:rsidP="00960D42">
      <w:pPr>
        <w:ind w:left="426" w:hanging="284"/>
      </w:pPr>
    </w:p>
    <w:p w:rsidR="00960D42" w:rsidRPr="00006550" w:rsidRDefault="00EF59F1" w:rsidP="00960D42">
      <w:pPr>
        <w:numPr>
          <w:ilvl w:val="0"/>
          <w:numId w:val="16"/>
        </w:numPr>
        <w:rPr>
          <w:rFonts w:cs="Arial"/>
        </w:rPr>
      </w:pPr>
      <w:r w:rsidRPr="00006550">
        <w:t>Ahead of the winter period, residents w</w:t>
      </w:r>
      <w:r w:rsidR="00AF0E51">
        <w:t>ould</w:t>
      </w:r>
      <w:r w:rsidRPr="00006550">
        <w:t xml:space="preserve"> be advised to discharge </w:t>
      </w:r>
      <w:r w:rsidR="00960D42" w:rsidRPr="00006550">
        <w:t xml:space="preserve">water </w:t>
      </w:r>
      <w:r w:rsidRPr="00006550">
        <w:t xml:space="preserve">in a flood event in to the road </w:t>
      </w:r>
      <w:r w:rsidR="00960D42" w:rsidRPr="00006550">
        <w:t xml:space="preserve">and not pump to sewers. </w:t>
      </w:r>
      <w:r w:rsidR="00571305">
        <w:t xml:space="preserve"> </w:t>
      </w:r>
      <w:r w:rsidRPr="00006550">
        <w:t>A</w:t>
      </w:r>
      <w:r w:rsidR="00960D42" w:rsidRPr="00006550">
        <w:t xml:space="preserve">lthough </w:t>
      </w:r>
      <w:r w:rsidR="00571305">
        <w:t xml:space="preserve">the </w:t>
      </w:r>
      <w:r w:rsidR="00960D42" w:rsidRPr="00006550">
        <w:t xml:space="preserve">discharge of water across footways </w:t>
      </w:r>
      <w:r w:rsidR="00AF0E51">
        <w:t>wa</w:t>
      </w:r>
      <w:r w:rsidR="00960D42" w:rsidRPr="00006550">
        <w:t xml:space="preserve">s not permitted without a suitable licensed channel, </w:t>
      </w:r>
      <w:r w:rsidR="00006550">
        <w:t>it</w:t>
      </w:r>
      <w:r w:rsidRPr="00006550">
        <w:t xml:space="preserve"> </w:t>
      </w:r>
      <w:r w:rsidR="00AF0E51">
        <w:t>wa</w:t>
      </w:r>
      <w:r w:rsidRPr="00006550">
        <w:t xml:space="preserve">s acceptable </w:t>
      </w:r>
      <w:r w:rsidR="00960D42" w:rsidRPr="00006550">
        <w:t>a</w:t>
      </w:r>
      <w:r w:rsidR="00785F1C" w:rsidRPr="00006550">
        <w:t>s a</w:t>
      </w:r>
      <w:r w:rsidR="00960D42" w:rsidRPr="00006550">
        <w:t xml:space="preserve"> practical solution </w:t>
      </w:r>
      <w:r w:rsidRPr="00006550">
        <w:t>in a flood situation.</w:t>
      </w:r>
    </w:p>
    <w:p w:rsidR="00960D42" w:rsidRPr="00B13F04" w:rsidRDefault="00960D42" w:rsidP="00960D42">
      <w:pPr>
        <w:pStyle w:val="ListParagraph"/>
        <w:rPr>
          <w:rFonts w:cs="Arial"/>
        </w:rPr>
      </w:pPr>
    </w:p>
    <w:p w:rsidR="006F6F71" w:rsidRDefault="00284C3C" w:rsidP="00AA687D">
      <w:pPr>
        <w:rPr>
          <w:rFonts w:cs="Arial"/>
          <w:b/>
        </w:rPr>
      </w:pPr>
      <w:r>
        <w:rPr>
          <w:rFonts w:cs="Arial"/>
          <w:b/>
        </w:rPr>
        <w:t>Catchment study</w:t>
      </w:r>
    </w:p>
    <w:p w:rsidR="00284C3C" w:rsidRDefault="00284C3C" w:rsidP="00284C3C">
      <w:pPr>
        <w:numPr>
          <w:ilvl w:val="0"/>
          <w:numId w:val="16"/>
        </w:numPr>
        <w:rPr>
          <w:rFonts w:cs="Arial"/>
        </w:rPr>
      </w:pPr>
      <w:r>
        <w:rPr>
          <w:rFonts w:cs="Arial"/>
        </w:rPr>
        <w:t xml:space="preserve">The catchment study </w:t>
      </w:r>
      <w:r w:rsidR="006C5527">
        <w:rPr>
          <w:rFonts w:cs="Arial"/>
        </w:rPr>
        <w:t>i</w:t>
      </w:r>
      <w:r w:rsidR="00AF0E51">
        <w:rPr>
          <w:rFonts w:cs="Arial"/>
        </w:rPr>
        <w:t>s</w:t>
      </w:r>
      <w:r>
        <w:rPr>
          <w:rFonts w:cs="Arial"/>
        </w:rPr>
        <w:t xml:space="preserve"> a substantial long term study of the sewerage system in Oxford</w:t>
      </w:r>
      <w:r w:rsidR="00BD350F">
        <w:rPr>
          <w:rFonts w:cs="Arial"/>
        </w:rPr>
        <w:t xml:space="preserve">.  </w:t>
      </w:r>
      <w:r w:rsidR="00BF7017">
        <w:rPr>
          <w:rFonts w:cs="Arial"/>
        </w:rPr>
        <w:t>It</w:t>
      </w:r>
      <w:r w:rsidR="00BD350F">
        <w:rPr>
          <w:rFonts w:cs="Arial"/>
        </w:rPr>
        <w:t xml:space="preserve"> </w:t>
      </w:r>
      <w:r w:rsidR="00AF0E51">
        <w:rPr>
          <w:rFonts w:cs="Arial"/>
        </w:rPr>
        <w:t>would</w:t>
      </w:r>
      <w:r>
        <w:rPr>
          <w:rFonts w:cs="Arial"/>
        </w:rPr>
        <w:t xml:space="preserve"> inform </w:t>
      </w:r>
      <w:r w:rsidR="00BD350F">
        <w:rPr>
          <w:rFonts w:cs="Arial"/>
        </w:rPr>
        <w:t>a long term strategy for a robust drainage network, including a cost-beneficial programme of improvement works</w:t>
      </w:r>
      <w:r w:rsidR="00B75CD3">
        <w:rPr>
          <w:rFonts w:cs="Arial"/>
        </w:rPr>
        <w:t xml:space="preserve">.  </w:t>
      </w:r>
      <w:r w:rsidR="00BF7017">
        <w:rPr>
          <w:rFonts w:cs="Arial"/>
        </w:rPr>
        <w:t xml:space="preserve">The study </w:t>
      </w:r>
      <w:r w:rsidR="00B75CD3">
        <w:rPr>
          <w:rFonts w:cs="Arial"/>
        </w:rPr>
        <w:t>w</w:t>
      </w:r>
      <w:r w:rsidR="00AF0E51">
        <w:rPr>
          <w:rFonts w:cs="Arial"/>
        </w:rPr>
        <w:t>ould</w:t>
      </w:r>
      <w:r w:rsidR="00B75CD3">
        <w:rPr>
          <w:rFonts w:cs="Arial"/>
        </w:rPr>
        <w:t xml:space="preserve"> also identify</w:t>
      </w:r>
      <w:r w:rsidR="00BD350F">
        <w:rPr>
          <w:rFonts w:cs="Arial"/>
        </w:rPr>
        <w:t xml:space="preserve"> actions that </w:t>
      </w:r>
      <w:r w:rsidR="00B75CD3">
        <w:rPr>
          <w:rFonts w:cs="Arial"/>
        </w:rPr>
        <w:t xml:space="preserve">partner </w:t>
      </w:r>
      <w:r w:rsidR="00BD350F">
        <w:rPr>
          <w:rFonts w:cs="Arial"/>
        </w:rPr>
        <w:t>agencies c</w:t>
      </w:r>
      <w:r w:rsidR="00AF0E51">
        <w:rPr>
          <w:rFonts w:cs="Arial"/>
        </w:rPr>
        <w:t>ould</w:t>
      </w:r>
      <w:r w:rsidR="00BD350F">
        <w:rPr>
          <w:rFonts w:cs="Arial"/>
        </w:rPr>
        <w:t xml:space="preserve"> take to </w:t>
      </w:r>
      <w:r w:rsidR="00B75CD3">
        <w:rPr>
          <w:rFonts w:cs="Arial"/>
        </w:rPr>
        <w:t xml:space="preserve">minimise the risk of </w:t>
      </w:r>
      <w:r w:rsidR="00BD350F">
        <w:rPr>
          <w:rFonts w:cs="Arial"/>
        </w:rPr>
        <w:t>flooding</w:t>
      </w:r>
      <w:r w:rsidR="00B75CD3">
        <w:rPr>
          <w:rFonts w:cs="Arial"/>
        </w:rPr>
        <w:t xml:space="preserve"> incidents</w:t>
      </w:r>
      <w:r w:rsidR="00BD350F">
        <w:rPr>
          <w:rFonts w:cs="Arial"/>
        </w:rPr>
        <w:t xml:space="preserve">.  </w:t>
      </w:r>
    </w:p>
    <w:p w:rsidR="000A50C0" w:rsidRDefault="000A50C0" w:rsidP="000A50C0">
      <w:pPr>
        <w:ind w:left="720"/>
        <w:rPr>
          <w:rFonts w:cs="Arial"/>
        </w:rPr>
      </w:pPr>
    </w:p>
    <w:p w:rsidR="007E76F2" w:rsidRDefault="00284C3C" w:rsidP="007E76F2">
      <w:pPr>
        <w:numPr>
          <w:ilvl w:val="0"/>
          <w:numId w:val="16"/>
        </w:numPr>
        <w:rPr>
          <w:rFonts w:cs="Arial"/>
        </w:rPr>
      </w:pPr>
      <w:r w:rsidRPr="000A50C0">
        <w:rPr>
          <w:rFonts w:cs="Arial"/>
        </w:rPr>
        <w:t>Pha</w:t>
      </w:r>
      <w:r w:rsidR="00B75CD3" w:rsidRPr="000A50C0">
        <w:rPr>
          <w:rFonts w:cs="Arial"/>
        </w:rPr>
        <w:t xml:space="preserve">se 1 of the catchment study </w:t>
      </w:r>
      <w:r w:rsidR="00AF0E51">
        <w:rPr>
          <w:rFonts w:cs="Arial"/>
        </w:rPr>
        <w:t>wa</w:t>
      </w:r>
      <w:r w:rsidR="00B75CD3" w:rsidRPr="000A50C0">
        <w:rPr>
          <w:rFonts w:cs="Arial"/>
        </w:rPr>
        <w:t xml:space="preserve">s </w:t>
      </w:r>
      <w:r w:rsidR="00E54BC4">
        <w:rPr>
          <w:rFonts w:cs="Arial"/>
        </w:rPr>
        <w:t xml:space="preserve">now </w:t>
      </w:r>
      <w:r w:rsidR="000A50C0">
        <w:rPr>
          <w:rFonts w:cs="Arial"/>
        </w:rPr>
        <w:t xml:space="preserve">largely </w:t>
      </w:r>
      <w:r w:rsidRPr="000A50C0">
        <w:rPr>
          <w:rFonts w:cs="Arial"/>
        </w:rPr>
        <w:t>complete</w:t>
      </w:r>
      <w:r w:rsidR="00B75CD3" w:rsidRPr="000A50C0">
        <w:rPr>
          <w:rFonts w:cs="Arial"/>
        </w:rPr>
        <w:t>.  It</w:t>
      </w:r>
      <w:r w:rsidRPr="000A50C0">
        <w:rPr>
          <w:rFonts w:cs="Arial"/>
        </w:rPr>
        <w:t xml:space="preserve"> involved gathering customer evidence, flow monitoring </w:t>
      </w:r>
      <w:r w:rsidR="00BD350F" w:rsidRPr="000A50C0">
        <w:rPr>
          <w:rFonts w:cs="Arial"/>
        </w:rPr>
        <w:t>of the foul system and the surface water system</w:t>
      </w:r>
      <w:r w:rsidR="00B75CD3" w:rsidRPr="000A50C0">
        <w:rPr>
          <w:rFonts w:cs="Arial"/>
        </w:rPr>
        <w:t xml:space="preserve">, </w:t>
      </w:r>
      <w:r w:rsidRPr="000A50C0">
        <w:rPr>
          <w:rFonts w:cs="Arial"/>
        </w:rPr>
        <w:t xml:space="preserve">and </w:t>
      </w:r>
      <w:r w:rsidR="00B75CD3" w:rsidRPr="000A50C0">
        <w:rPr>
          <w:rFonts w:cs="Arial"/>
        </w:rPr>
        <w:t>asset surveys including the use of CCTV</w:t>
      </w:r>
      <w:r w:rsidR="00E54BC4">
        <w:rPr>
          <w:rFonts w:cs="Arial"/>
        </w:rPr>
        <w:t xml:space="preserve"> and inspections</w:t>
      </w:r>
      <w:r w:rsidRPr="000A50C0">
        <w:rPr>
          <w:rFonts w:cs="Arial"/>
        </w:rPr>
        <w:t xml:space="preserve">.  </w:t>
      </w:r>
    </w:p>
    <w:p w:rsidR="000A50C0" w:rsidRDefault="000A50C0" w:rsidP="000A50C0">
      <w:pPr>
        <w:pStyle w:val="ListParagraph"/>
        <w:rPr>
          <w:rFonts w:cs="Arial"/>
        </w:rPr>
      </w:pPr>
    </w:p>
    <w:p w:rsidR="007E76F2" w:rsidRDefault="007E76F2" w:rsidP="00E54BC4">
      <w:pPr>
        <w:numPr>
          <w:ilvl w:val="0"/>
          <w:numId w:val="16"/>
        </w:numPr>
        <w:rPr>
          <w:rFonts w:cs="Arial"/>
        </w:rPr>
      </w:pPr>
      <w:r>
        <w:rPr>
          <w:rFonts w:cs="Arial"/>
        </w:rPr>
        <w:t xml:space="preserve">TWU reported that during their investigations they </w:t>
      </w:r>
      <w:r w:rsidR="00AF0E51">
        <w:rPr>
          <w:rFonts w:cs="Arial"/>
        </w:rPr>
        <w:t>came</w:t>
      </w:r>
      <w:r>
        <w:rPr>
          <w:rFonts w:cs="Arial"/>
        </w:rPr>
        <w:t xml:space="preserve"> across a number of serious pro</w:t>
      </w:r>
      <w:r w:rsidR="00AF0E51">
        <w:rPr>
          <w:rFonts w:cs="Arial"/>
        </w:rPr>
        <w:t>blems, which they had</w:t>
      </w:r>
      <w:r>
        <w:rPr>
          <w:rFonts w:cs="Arial"/>
        </w:rPr>
        <w:t xml:space="preserve"> been dealing with on a find and fix basis.  </w:t>
      </w:r>
      <w:r>
        <w:rPr>
          <w:rFonts w:cs="Arial"/>
        </w:rPr>
        <w:lastRenderedPageBreak/>
        <w:t xml:space="preserve">These </w:t>
      </w:r>
      <w:r w:rsidR="000A50C0">
        <w:rPr>
          <w:rFonts w:cs="Arial"/>
        </w:rPr>
        <w:t>fixes</w:t>
      </w:r>
      <w:r>
        <w:rPr>
          <w:rFonts w:cs="Arial"/>
        </w:rPr>
        <w:t xml:space="preserve"> </w:t>
      </w:r>
      <w:r w:rsidR="00AF0E51">
        <w:rPr>
          <w:rFonts w:cs="Arial"/>
        </w:rPr>
        <w:t>would</w:t>
      </w:r>
      <w:r w:rsidR="000A50C0">
        <w:rPr>
          <w:rFonts w:cs="Arial"/>
        </w:rPr>
        <w:t xml:space="preserve"> </w:t>
      </w:r>
      <w:r>
        <w:rPr>
          <w:rFonts w:cs="Arial"/>
        </w:rPr>
        <w:t>open</w:t>
      </w:r>
      <w:r w:rsidR="000A50C0">
        <w:rPr>
          <w:rFonts w:cs="Arial"/>
        </w:rPr>
        <w:t xml:space="preserve"> up capacity, </w:t>
      </w:r>
      <w:r>
        <w:rPr>
          <w:rFonts w:cs="Arial"/>
        </w:rPr>
        <w:t xml:space="preserve">improving flows and access.  TWU </w:t>
      </w:r>
      <w:r w:rsidR="00AF0E51">
        <w:rPr>
          <w:rFonts w:cs="Arial"/>
        </w:rPr>
        <w:t>we</w:t>
      </w:r>
      <w:r w:rsidR="00507AC6">
        <w:rPr>
          <w:rFonts w:cs="Arial"/>
        </w:rPr>
        <w:t>re</w:t>
      </w:r>
      <w:r>
        <w:rPr>
          <w:rFonts w:cs="Arial"/>
        </w:rPr>
        <w:t xml:space="preserve"> also working to prevent problems such as </w:t>
      </w:r>
      <w:proofErr w:type="spellStart"/>
      <w:r>
        <w:rPr>
          <w:rFonts w:cs="Arial"/>
        </w:rPr>
        <w:t>fatb</w:t>
      </w:r>
      <w:r w:rsidR="000A50C0">
        <w:rPr>
          <w:rFonts w:cs="Arial"/>
        </w:rPr>
        <w:t>ergs</w:t>
      </w:r>
      <w:proofErr w:type="spellEnd"/>
      <w:r w:rsidR="000A50C0">
        <w:rPr>
          <w:rFonts w:cs="Arial"/>
        </w:rPr>
        <w:t xml:space="preserve"> from occurring and </w:t>
      </w:r>
      <w:r>
        <w:rPr>
          <w:rFonts w:cs="Arial"/>
        </w:rPr>
        <w:t>considering pilot</w:t>
      </w:r>
      <w:r w:rsidR="000A50C0">
        <w:rPr>
          <w:rFonts w:cs="Arial"/>
        </w:rPr>
        <w:t>ing a</w:t>
      </w:r>
      <w:r>
        <w:rPr>
          <w:rFonts w:cs="Arial"/>
        </w:rPr>
        <w:t xml:space="preserve"> scheme </w:t>
      </w:r>
      <w:r w:rsidR="00E54BC4" w:rsidRPr="00E54BC4">
        <w:rPr>
          <w:rFonts w:cs="Arial"/>
        </w:rPr>
        <w:t xml:space="preserve">in Oxford </w:t>
      </w:r>
      <w:r w:rsidR="000A50C0">
        <w:rPr>
          <w:rFonts w:cs="Arial"/>
        </w:rPr>
        <w:t>of</w:t>
      </w:r>
      <w:r>
        <w:rPr>
          <w:rFonts w:cs="Arial"/>
        </w:rPr>
        <w:t xml:space="preserve"> </w:t>
      </w:r>
      <w:r w:rsidR="00B75CD3">
        <w:rPr>
          <w:rFonts w:cs="Arial"/>
        </w:rPr>
        <w:t>working with food outlets to prevent commercial fat</w:t>
      </w:r>
      <w:r w:rsidR="0004341E">
        <w:rPr>
          <w:rFonts w:cs="Arial"/>
        </w:rPr>
        <w:t>,</w:t>
      </w:r>
      <w:r w:rsidR="00B75CD3">
        <w:rPr>
          <w:rFonts w:cs="Arial"/>
        </w:rPr>
        <w:t xml:space="preserve"> oil and grease from </w:t>
      </w:r>
      <w:r w:rsidR="000A50C0">
        <w:rPr>
          <w:rFonts w:cs="Arial"/>
        </w:rPr>
        <w:t>entering</w:t>
      </w:r>
      <w:r w:rsidR="00B75CD3">
        <w:rPr>
          <w:rFonts w:cs="Arial"/>
        </w:rPr>
        <w:t xml:space="preserve"> the sewe</w:t>
      </w:r>
      <w:r w:rsidR="000A50C0">
        <w:rPr>
          <w:rFonts w:cs="Arial"/>
        </w:rPr>
        <w:t>r</w:t>
      </w:r>
      <w:r w:rsidR="00B75CD3">
        <w:rPr>
          <w:rFonts w:cs="Arial"/>
        </w:rPr>
        <w:t xml:space="preserve"> network.</w:t>
      </w:r>
    </w:p>
    <w:p w:rsidR="000A50C0" w:rsidRDefault="000A50C0" w:rsidP="000A50C0">
      <w:pPr>
        <w:pStyle w:val="ListParagraph"/>
        <w:rPr>
          <w:rFonts w:cs="Arial"/>
        </w:rPr>
      </w:pPr>
    </w:p>
    <w:p w:rsidR="000A50C0" w:rsidRPr="000A50C0" w:rsidRDefault="000A50C0" w:rsidP="000A50C0">
      <w:pPr>
        <w:numPr>
          <w:ilvl w:val="0"/>
          <w:numId w:val="16"/>
        </w:numPr>
        <w:rPr>
          <w:rFonts w:cs="Arial"/>
        </w:rPr>
      </w:pPr>
      <w:r>
        <w:rPr>
          <w:rFonts w:cs="Arial"/>
        </w:rPr>
        <w:t xml:space="preserve">Phase 2 </w:t>
      </w:r>
      <w:r w:rsidR="006C5527">
        <w:rPr>
          <w:rFonts w:cs="Arial"/>
        </w:rPr>
        <w:t>included i</w:t>
      </w:r>
      <w:r>
        <w:rPr>
          <w:rFonts w:cs="Arial"/>
        </w:rPr>
        <w:t xml:space="preserve">n depth and on-going inspections of trunk sewers and </w:t>
      </w:r>
      <w:r w:rsidR="00AF0E51">
        <w:rPr>
          <w:rFonts w:cs="Arial"/>
        </w:rPr>
        <w:t>the development of</w:t>
      </w:r>
      <w:r w:rsidRPr="000A50C0">
        <w:rPr>
          <w:rFonts w:cs="Arial"/>
        </w:rPr>
        <w:t xml:space="preserve"> predictive 3D modelling</w:t>
      </w:r>
      <w:r>
        <w:rPr>
          <w:rFonts w:cs="Arial"/>
        </w:rPr>
        <w:t>.  This w</w:t>
      </w:r>
      <w:r w:rsidR="00AF0E51">
        <w:rPr>
          <w:rFonts w:cs="Arial"/>
        </w:rPr>
        <w:t>ould</w:t>
      </w:r>
      <w:r>
        <w:rPr>
          <w:rFonts w:cs="Arial"/>
        </w:rPr>
        <w:t xml:space="preserve"> enable TWU</w:t>
      </w:r>
      <w:r w:rsidRPr="000A50C0">
        <w:rPr>
          <w:rFonts w:cs="Arial"/>
        </w:rPr>
        <w:t xml:space="preserve"> to manage flows effectively in real time to prevent flooding incidents.  TWU intend</w:t>
      </w:r>
      <w:r w:rsidR="00AF0E51">
        <w:rPr>
          <w:rFonts w:cs="Arial"/>
        </w:rPr>
        <w:t>ed</w:t>
      </w:r>
      <w:r w:rsidRPr="000A50C0">
        <w:rPr>
          <w:rFonts w:cs="Arial"/>
        </w:rPr>
        <w:t xml:space="preserve"> to link their hydraulic models of the foul and surface water systems to the Environment Agency’s river model.</w:t>
      </w:r>
    </w:p>
    <w:p w:rsidR="00BD350F" w:rsidRDefault="00BD350F" w:rsidP="00BD350F">
      <w:pPr>
        <w:pStyle w:val="ListParagraph"/>
        <w:rPr>
          <w:rFonts w:cs="Arial"/>
        </w:rPr>
      </w:pPr>
    </w:p>
    <w:p w:rsidR="00571305" w:rsidRPr="00571305" w:rsidRDefault="00571305" w:rsidP="00571305">
      <w:pPr>
        <w:pStyle w:val="ListParagraph"/>
        <w:numPr>
          <w:ilvl w:val="0"/>
          <w:numId w:val="16"/>
        </w:numPr>
        <w:rPr>
          <w:rFonts w:cs="Arial"/>
        </w:rPr>
      </w:pPr>
      <w:r w:rsidRPr="00571305">
        <w:rPr>
          <w:rFonts w:cs="Arial"/>
        </w:rPr>
        <w:t>TWU advised that the sewerage pumping station at Littlemore</w:t>
      </w:r>
      <w:r w:rsidR="00AF0E51">
        <w:rPr>
          <w:rFonts w:cs="Arial"/>
        </w:rPr>
        <w:t xml:space="preserve"> wa</w:t>
      </w:r>
      <w:r w:rsidRPr="00571305">
        <w:rPr>
          <w:rFonts w:cs="Arial"/>
        </w:rPr>
        <w:t xml:space="preserve">s the largest in </w:t>
      </w:r>
      <w:r w:rsidR="00E676D7">
        <w:rPr>
          <w:rFonts w:cs="Arial"/>
        </w:rPr>
        <w:t xml:space="preserve">their </w:t>
      </w:r>
      <w:r w:rsidRPr="00571305">
        <w:rPr>
          <w:rFonts w:cs="Arial"/>
        </w:rPr>
        <w:t xml:space="preserve">western region.  A specialist team from London </w:t>
      </w:r>
      <w:r w:rsidR="00AF0E51">
        <w:rPr>
          <w:rFonts w:cs="Arial"/>
        </w:rPr>
        <w:t>wa</w:t>
      </w:r>
      <w:r w:rsidRPr="00571305">
        <w:rPr>
          <w:rFonts w:cs="Arial"/>
        </w:rPr>
        <w:t>s being brought in to clean the wells and trunks, and the two pumps may be replaced with higher capacity models.  This w</w:t>
      </w:r>
      <w:r w:rsidR="00AF0E51">
        <w:rPr>
          <w:rFonts w:cs="Arial"/>
        </w:rPr>
        <w:t>ould</w:t>
      </w:r>
      <w:r w:rsidRPr="00571305">
        <w:rPr>
          <w:rFonts w:cs="Arial"/>
        </w:rPr>
        <w:t xml:space="preserve"> optimise the performance of the station and reduce the risk of it being knocked out by sediment.</w:t>
      </w:r>
    </w:p>
    <w:p w:rsidR="00BD350F" w:rsidRDefault="00BD350F" w:rsidP="00BD350F">
      <w:pPr>
        <w:pStyle w:val="ListParagraph"/>
        <w:rPr>
          <w:rFonts w:cs="Arial"/>
        </w:rPr>
      </w:pPr>
    </w:p>
    <w:p w:rsidR="006F6F71" w:rsidRDefault="000A50C0" w:rsidP="000A50C0">
      <w:pPr>
        <w:numPr>
          <w:ilvl w:val="0"/>
          <w:numId w:val="16"/>
        </w:numPr>
        <w:rPr>
          <w:rFonts w:cs="Arial"/>
        </w:rPr>
      </w:pPr>
      <w:r>
        <w:rPr>
          <w:rFonts w:cs="Arial"/>
        </w:rPr>
        <w:t xml:space="preserve">TWU </w:t>
      </w:r>
      <w:r w:rsidR="00AF0E51">
        <w:rPr>
          <w:rFonts w:cs="Arial"/>
        </w:rPr>
        <w:t>we</w:t>
      </w:r>
      <w:r w:rsidR="009655B9">
        <w:rPr>
          <w:rFonts w:cs="Arial"/>
        </w:rPr>
        <w:t>re</w:t>
      </w:r>
      <w:r>
        <w:rPr>
          <w:rFonts w:cs="Arial"/>
        </w:rPr>
        <w:t xml:space="preserve"> kee</w:t>
      </w:r>
      <w:r w:rsidR="007E71DB">
        <w:rPr>
          <w:rFonts w:cs="Arial"/>
        </w:rPr>
        <w:t>n to improve</w:t>
      </w:r>
      <w:r>
        <w:rPr>
          <w:rFonts w:cs="Arial"/>
        </w:rPr>
        <w:t xml:space="preserve"> </w:t>
      </w:r>
      <w:r w:rsidR="009655B9">
        <w:rPr>
          <w:rFonts w:cs="Arial"/>
        </w:rPr>
        <w:t>their</w:t>
      </w:r>
      <w:r>
        <w:rPr>
          <w:rFonts w:cs="Arial"/>
        </w:rPr>
        <w:t xml:space="preserve"> custom</w:t>
      </w:r>
      <w:r w:rsidR="009655B9">
        <w:rPr>
          <w:rFonts w:cs="Arial"/>
        </w:rPr>
        <w:t xml:space="preserve">er communications operation and </w:t>
      </w:r>
      <w:r>
        <w:rPr>
          <w:rFonts w:cs="Arial"/>
        </w:rPr>
        <w:t>bet</w:t>
      </w:r>
      <w:r w:rsidR="009655B9">
        <w:rPr>
          <w:rFonts w:cs="Arial"/>
        </w:rPr>
        <w:t>ter inform the public of what they are</w:t>
      </w:r>
      <w:r w:rsidR="00AF0E51">
        <w:rPr>
          <w:rFonts w:cs="Arial"/>
        </w:rPr>
        <w:t xml:space="preserve"> doing</w:t>
      </w:r>
      <w:r w:rsidR="006C5527">
        <w:rPr>
          <w:rFonts w:cs="Arial"/>
        </w:rPr>
        <w:t>.  T</w:t>
      </w:r>
      <w:r w:rsidR="00937F92">
        <w:rPr>
          <w:rFonts w:cs="Arial"/>
        </w:rPr>
        <w:t xml:space="preserve">here </w:t>
      </w:r>
      <w:r w:rsidR="00AF0E51">
        <w:rPr>
          <w:rFonts w:cs="Arial"/>
        </w:rPr>
        <w:t>wa</w:t>
      </w:r>
      <w:r w:rsidR="00937F92">
        <w:rPr>
          <w:rFonts w:cs="Arial"/>
        </w:rPr>
        <w:t xml:space="preserve">s now a dedicated </w:t>
      </w:r>
      <w:hyperlink r:id="rId10" w:history="1">
        <w:r w:rsidR="00937F92" w:rsidRPr="00937F92">
          <w:rPr>
            <w:rStyle w:val="Hyperlink"/>
            <w:rFonts w:cs="Arial"/>
          </w:rPr>
          <w:t>webpage for the Oxford catchment study</w:t>
        </w:r>
      </w:hyperlink>
      <w:r w:rsidR="00937F92">
        <w:rPr>
          <w:rFonts w:cs="Arial"/>
        </w:rPr>
        <w:t>.</w:t>
      </w:r>
    </w:p>
    <w:p w:rsidR="00937F92" w:rsidRDefault="00937F92" w:rsidP="00937F92">
      <w:pPr>
        <w:pStyle w:val="ListParagraph"/>
        <w:rPr>
          <w:rFonts w:cs="Arial"/>
        </w:rPr>
      </w:pPr>
    </w:p>
    <w:p w:rsidR="00EB6434" w:rsidRDefault="00937F92" w:rsidP="007E71DB">
      <w:pPr>
        <w:numPr>
          <w:ilvl w:val="0"/>
          <w:numId w:val="16"/>
        </w:numPr>
        <w:rPr>
          <w:rFonts w:cs="Arial"/>
        </w:rPr>
      </w:pPr>
      <w:r>
        <w:rPr>
          <w:rFonts w:cs="Arial"/>
        </w:rPr>
        <w:t xml:space="preserve">TWU </w:t>
      </w:r>
      <w:r w:rsidR="007E71DB">
        <w:rPr>
          <w:rFonts w:cs="Arial"/>
        </w:rPr>
        <w:t xml:space="preserve">would </w:t>
      </w:r>
      <w:r>
        <w:rPr>
          <w:rFonts w:cs="Arial"/>
        </w:rPr>
        <w:t xml:space="preserve">welcome </w:t>
      </w:r>
      <w:r w:rsidR="00E375A9">
        <w:rPr>
          <w:rFonts w:cs="Arial"/>
        </w:rPr>
        <w:t xml:space="preserve">advance notice and early engagement from the City Council </w:t>
      </w:r>
      <w:r w:rsidR="00EB6434">
        <w:rPr>
          <w:rFonts w:cs="Arial"/>
        </w:rPr>
        <w:t>in relation to</w:t>
      </w:r>
      <w:r w:rsidR="00E375A9">
        <w:rPr>
          <w:rFonts w:cs="Arial"/>
        </w:rPr>
        <w:t xml:space="preserve"> major development proposals that may impact </w:t>
      </w:r>
      <w:r w:rsidR="00FC6DDB">
        <w:rPr>
          <w:rFonts w:cs="Arial"/>
        </w:rPr>
        <w:t>them</w:t>
      </w:r>
      <w:r w:rsidR="007E71DB">
        <w:rPr>
          <w:rFonts w:cs="Arial"/>
        </w:rPr>
        <w:t>, perhaps through</w:t>
      </w:r>
      <w:r w:rsidR="007E71DB" w:rsidRPr="007E71DB">
        <w:rPr>
          <w:rFonts w:cs="Arial"/>
        </w:rPr>
        <w:t xml:space="preserve"> the O</w:t>
      </w:r>
      <w:r w:rsidR="007E71DB">
        <w:rPr>
          <w:rFonts w:cs="Arial"/>
        </w:rPr>
        <w:t xml:space="preserve">xford Area Flooding Partnership, </w:t>
      </w:r>
      <w:r w:rsidR="007C3AD5">
        <w:rPr>
          <w:rFonts w:cs="Arial"/>
        </w:rPr>
        <w:t>which me</w:t>
      </w:r>
      <w:r w:rsidR="006C5527">
        <w:rPr>
          <w:rFonts w:cs="Arial"/>
        </w:rPr>
        <w:t>e</w:t>
      </w:r>
      <w:r w:rsidR="007C3AD5">
        <w:rPr>
          <w:rFonts w:cs="Arial"/>
        </w:rPr>
        <w:t>t</w:t>
      </w:r>
      <w:r w:rsidR="006C5527">
        <w:rPr>
          <w:rFonts w:cs="Arial"/>
        </w:rPr>
        <w:t>s</w:t>
      </w:r>
      <w:r w:rsidR="007E71DB">
        <w:rPr>
          <w:rFonts w:cs="Arial"/>
        </w:rPr>
        <w:t xml:space="preserve"> quarterly.</w:t>
      </w:r>
    </w:p>
    <w:p w:rsidR="00EB6434" w:rsidRDefault="00EB6434" w:rsidP="00EB6434">
      <w:pPr>
        <w:pStyle w:val="ListParagraph"/>
        <w:rPr>
          <w:rFonts w:cs="Arial"/>
        </w:rPr>
      </w:pPr>
    </w:p>
    <w:p w:rsidR="002A44A1" w:rsidRDefault="00FC6DDB" w:rsidP="00834180">
      <w:pPr>
        <w:ind w:left="720"/>
        <w:rPr>
          <w:rFonts w:cs="Arial"/>
          <w:b/>
          <w:bCs/>
        </w:rPr>
      </w:pPr>
      <w:r>
        <w:rPr>
          <w:rFonts w:cs="Arial"/>
          <w:b/>
          <w:bCs/>
        </w:rPr>
        <w:t>Recommendation –</w:t>
      </w:r>
      <w:r w:rsidR="009910CD">
        <w:rPr>
          <w:rFonts w:cs="Arial"/>
          <w:b/>
          <w:bCs/>
        </w:rPr>
        <w:t xml:space="preserve"> T</w:t>
      </w:r>
      <w:r w:rsidR="00834180" w:rsidRPr="00834180">
        <w:rPr>
          <w:rFonts w:cs="Arial"/>
          <w:b/>
          <w:bCs/>
        </w:rPr>
        <w:t>hat the City Council continues to engage with Thames Water Utilities (TWU) at a senior level through the Oxford Area Flood Partnership and other appropriate channels.  This should include early engagement in relation to future development proposals that affect TWU.</w:t>
      </w:r>
    </w:p>
    <w:p w:rsidR="00834180" w:rsidRDefault="00834180" w:rsidP="00834180">
      <w:pPr>
        <w:ind w:left="720"/>
        <w:rPr>
          <w:rFonts w:cs="Arial"/>
          <w:b/>
        </w:rPr>
      </w:pPr>
    </w:p>
    <w:p w:rsidR="00B251C4" w:rsidRDefault="00D71F03" w:rsidP="00A03364">
      <w:pPr>
        <w:rPr>
          <w:rFonts w:cs="Arial"/>
          <w:b/>
        </w:rPr>
      </w:pPr>
      <w:r>
        <w:rPr>
          <w:rFonts w:cs="Arial"/>
          <w:b/>
        </w:rPr>
        <w:t>Next steps</w:t>
      </w:r>
    </w:p>
    <w:p w:rsidR="00937F92" w:rsidRPr="00937F92" w:rsidRDefault="00937F92" w:rsidP="00937F92">
      <w:pPr>
        <w:numPr>
          <w:ilvl w:val="0"/>
          <w:numId w:val="16"/>
        </w:numPr>
        <w:rPr>
          <w:rFonts w:cs="Arial"/>
        </w:rPr>
      </w:pPr>
      <w:r w:rsidRPr="00937F92">
        <w:rPr>
          <w:rFonts w:cs="Arial"/>
        </w:rPr>
        <w:t>The Panel</w:t>
      </w:r>
      <w:r w:rsidR="00AF0E51">
        <w:rPr>
          <w:rFonts w:cs="Arial"/>
        </w:rPr>
        <w:t xml:space="preserve"> agreed to</w:t>
      </w:r>
      <w:r w:rsidRPr="00937F92">
        <w:rPr>
          <w:rFonts w:cs="Arial"/>
        </w:rPr>
        <w:t xml:space="preserve"> issue a press release to welcome the progress of the catchment study</w:t>
      </w:r>
      <w:r>
        <w:rPr>
          <w:rFonts w:cs="Arial"/>
        </w:rPr>
        <w:t xml:space="preserve"> and circulate a communication to all City Councillors</w:t>
      </w:r>
      <w:r w:rsidRPr="00937F92">
        <w:rPr>
          <w:rFonts w:cs="Arial"/>
        </w:rPr>
        <w:t>.</w:t>
      </w:r>
    </w:p>
    <w:p w:rsidR="00937F92" w:rsidRDefault="00937F92" w:rsidP="00937F92">
      <w:pPr>
        <w:ind w:left="720"/>
        <w:rPr>
          <w:rFonts w:cs="Arial"/>
        </w:rPr>
      </w:pPr>
    </w:p>
    <w:p w:rsidR="00AF7205" w:rsidRDefault="00AF7205" w:rsidP="00AF7205">
      <w:pPr>
        <w:pStyle w:val="ListParagraph"/>
        <w:numPr>
          <w:ilvl w:val="0"/>
          <w:numId w:val="16"/>
        </w:numPr>
        <w:rPr>
          <w:rFonts w:cs="Arial"/>
        </w:rPr>
      </w:pPr>
      <w:r w:rsidRPr="00AF7205">
        <w:rPr>
          <w:rFonts w:cs="Arial"/>
        </w:rPr>
        <w:t>TWU would continue to provide quarterly updates to the Oxford Area Flood Partnership and</w:t>
      </w:r>
      <w:r>
        <w:rPr>
          <w:rFonts w:cs="Arial"/>
        </w:rPr>
        <w:t xml:space="preserve"> </w:t>
      </w:r>
      <w:r w:rsidR="00937F92" w:rsidRPr="00AF7205">
        <w:rPr>
          <w:rFonts w:cs="Arial"/>
        </w:rPr>
        <w:t xml:space="preserve">agreed to provide an end of year update to the </w:t>
      </w:r>
      <w:r>
        <w:rPr>
          <w:rFonts w:cs="Arial"/>
        </w:rPr>
        <w:t>Flooding Panel</w:t>
      </w:r>
      <w:r w:rsidR="00937F92" w:rsidRPr="00AF7205">
        <w:rPr>
          <w:rFonts w:cs="Arial"/>
        </w:rPr>
        <w:t>.  Representatives of the Environment Agency and Oxford</w:t>
      </w:r>
      <w:r w:rsidR="00785F1C" w:rsidRPr="00AF7205">
        <w:rPr>
          <w:rFonts w:cs="Arial"/>
        </w:rPr>
        <w:t xml:space="preserve"> </w:t>
      </w:r>
      <w:r w:rsidR="00937F92" w:rsidRPr="00AF7205">
        <w:rPr>
          <w:rFonts w:cs="Arial"/>
        </w:rPr>
        <w:t>Flood</w:t>
      </w:r>
      <w:r w:rsidR="00785F1C" w:rsidRPr="00AF7205">
        <w:rPr>
          <w:rFonts w:cs="Arial"/>
        </w:rPr>
        <w:t xml:space="preserve"> Alliance (OAF) and South Oxford</w:t>
      </w:r>
      <w:r w:rsidR="00937F92" w:rsidRPr="00AF7205">
        <w:rPr>
          <w:rFonts w:cs="Arial"/>
        </w:rPr>
        <w:t xml:space="preserve"> Action Group (SOFAG) w</w:t>
      </w:r>
      <w:r w:rsidR="00AF0E51" w:rsidRPr="00AF7205">
        <w:rPr>
          <w:rFonts w:cs="Arial"/>
        </w:rPr>
        <w:t xml:space="preserve">ould </w:t>
      </w:r>
      <w:r w:rsidR="00937F92" w:rsidRPr="00AF7205">
        <w:rPr>
          <w:rFonts w:cs="Arial"/>
        </w:rPr>
        <w:t>be invited.</w:t>
      </w:r>
      <w:r w:rsidR="007E71DB" w:rsidRPr="00AF7205">
        <w:rPr>
          <w:rFonts w:cs="Arial"/>
        </w:rPr>
        <w:t xml:space="preserve">  </w:t>
      </w:r>
    </w:p>
    <w:p w:rsidR="00AF7205" w:rsidRPr="00AF7205" w:rsidRDefault="00AF7205" w:rsidP="00AF7205">
      <w:pPr>
        <w:pStyle w:val="ListParagraph"/>
        <w:rPr>
          <w:rFonts w:cs="Arial"/>
        </w:rPr>
      </w:pPr>
    </w:p>
    <w:p w:rsidR="002A44A1" w:rsidRDefault="00AF7205" w:rsidP="00AF7205">
      <w:pPr>
        <w:pStyle w:val="ListParagraph"/>
        <w:numPr>
          <w:ilvl w:val="0"/>
          <w:numId w:val="16"/>
        </w:numPr>
        <w:rPr>
          <w:rFonts w:cs="Arial"/>
        </w:rPr>
      </w:pPr>
      <w:r>
        <w:rPr>
          <w:rFonts w:cs="Arial"/>
        </w:rPr>
        <w:t>The Scrutiny Committee agreed that TWU would be asked to hold an annual member seminar as an alternative to continue with a Flooding Panel.</w:t>
      </w:r>
    </w:p>
    <w:p w:rsidR="00AF7205" w:rsidRPr="00AF7205" w:rsidRDefault="00AF7205" w:rsidP="00AF7205">
      <w:pPr>
        <w:pStyle w:val="ListParagrap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713675">
        <w:tc>
          <w:tcPr>
            <w:tcW w:w="8522" w:type="dxa"/>
          </w:tcPr>
          <w:p w:rsidR="00713675" w:rsidRDefault="00713675" w:rsidP="00855C6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rPr>
                <w:b/>
                <w:bCs/>
              </w:rPr>
              <w:t>Name and contact details of author:-</w:t>
            </w:r>
          </w:p>
        </w:tc>
      </w:tr>
      <w:tr w:rsidR="00713675">
        <w:tc>
          <w:tcPr>
            <w:tcW w:w="8522" w:type="dxa"/>
          </w:tcPr>
          <w:p w:rsidR="00713675" w:rsidRDefault="00713675" w:rsidP="00855C6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</w:p>
          <w:p w:rsidR="00713675" w:rsidRDefault="004E4FB9" w:rsidP="004E4FB9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t>Andrew Brown</w:t>
            </w:r>
            <w:r w:rsidR="00DE5736">
              <w:t xml:space="preserve"> on behalf of the Scrutiny Committee</w:t>
            </w:r>
          </w:p>
        </w:tc>
      </w:tr>
      <w:tr w:rsidR="00713675">
        <w:tc>
          <w:tcPr>
            <w:tcW w:w="8522" w:type="dxa"/>
          </w:tcPr>
          <w:p w:rsidR="00713675" w:rsidRDefault="00DE5736" w:rsidP="00855C6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t>Scrutiny Officer</w:t>
            </w:r>
          </w:p>
        </w:tc>
      </w:tr>
      <w:tr w:rsidR="00713675">
        <w:tc>
          <w:tcPr>
            <w:tcW w:w="8522" w:type="dxa"/>
          </w:tcPr>
          <w:p w:rsidR="00713675" w:rsidRDefault="00DE5736" w:rsidP="00855C6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t>Law and Governance</w:t>
            </w:r>
          </w:p>
        </w:tc>
      </w:tr>
      <w:tr w:rsidR="00713675">
        <w:tc>
          <w:tcPr>
            <w:tcW w:w="8522" w:type="dxa"/>
          </w:tcPr>
          <w:p w:rsidR="00AF7205" w:rsidRPr="00AF7205" w:rsidRDefault="00713675" w:rsidP="00AF720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color w:val="0000FF"/>
                <w:u w:val="single"/>
              </w:rPr>
            </w:pPr>
            <w:r>
              <w:t xml:space="preserve">Tel: 01865 </w:t>
            </w:r>
            <w:r w:rsidR="00DE5736">
              <w:t>25</w:t>
            </w:r>
            <w:r w:rsidR="004E4FB9">
              <w:t xml:space="preserve">2230  e-mail: </w:t>
            </w:r>
            <w:hyperlink r:id="rId11" w:history="1">
              <w:r w:rsidR="00D16689" w:rsidRPr="00F02CBB">
                <w:rPr>
                  <w:rStyle w:val="Hyperlink"/>
                </w:rPr>
                <w:t>abrown2@oxford.gov.uk</w:t>
              </w:r>
            </w:hyperlink>
          </w:p>
        </w:tc>
      </w:tr>
    </w:tbl>
    <w:p w:rsidR="00AF7205" w:rsidRDefault="00AF7205">
      <w:pPr>
        <w:rPr>
          <w:rFonts w:cs="Arial"/>
          <w:b/>
          <w:bCs/>
        </w:rPr>
      </w:pPr>
    </w:p>
    <w:p w:rsidR="00AF7205" w:rsidRDefault="00F4367A">
      <w:pPr>
        <w:rPr>
          <w:rFonts w:cs="Arial"/>
          <w:b/>
          <w:bCs/>
        </w:rPr>
      </w:pPr>
      <w:r>
        <w:rPr>
          <w:rFonts w:cs="Arial"/>
          <w:b/>
          <w:bCs/>
        </w:rPr>
        <w:t xml:space="preserve">List of background papers: </w:t>
      </w:r>
      <w:r w:rsidR="00461D90">
        <w:rPr>
          <w:rFonts w:cs="Arial"/>
          <w:b/>
          <w:bCs/>
        </w:rPr>
        <w:t>None</w:t>
      </w:r>
      <w:r w:rsidR="00AF7205">
        <w:rPr>
          <w:rFonts w:cs="Arial"/>
          <w:b/>
          <w:bCs/>
        </w:rPr>
        <w:t xml:space="preserve">; </w:t>
      </w:r>
    </w:p>
    <w:p w:rsidR="00F4367A" w:rsidRPr="00AF7205" w:rsidRDefault="00F4367A">
      <w:pPr>
        <w:rPr>
          <w:rFonts w:cs="Arial"/>
          <w:b/>
          <w:bCs/>
        </w:rPr>
      </w:pPr>
      <w:bookmarkStart w:id="0" w:name="_GoBack"/>
      <w:bookmarkEnd w:id="0"/>
      <w:r>
        <w:rPr>
          <w:b/>
          <w:bCs/>
        </w:rPr>
        <w:t>Version number:</w:t>
      </w:r>
      <w:r w:rsidR="00461D90">
        <w:rPr>
          <w:b/>
          <w:bCs/>
        </w:rPr>
        <w:t xml:space="preserve"> </w:t>
      </w:r>
      <w:r w:rsidR="00AF7205">
        <w:rPr>
          <w:b/>
          <w:bCs/>
        </w:rPr>
        <w:t>2.0</w:t>
      </w:r>
    </w:p>
    <w:sectPr w:rsidR="00F4367A" w:rsidRPr="00AF7205" w:rsidSect="00AF7205">
      <w:pgSz w:w="11906" w:h="16838"/>
      <w:pgMar w:top="1134" w:right="1418" w:bottom="1134" w:left="1418" w:header="709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4CC" w:rsidRDefault="00B364CC">
      <w:r>
        <w:separator/>
      </w:r>
    </w:p>
  </w:endnote>
  <w:endnote w:type="continuationSeparator" w:id="0">
    <w:p w:rsidR="00B364CC" w:rsidRDefault="00B3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4CC" w:rsidRDefault="00B364CC">
      <w:r>
        <w:separator/>
      </w:r>
    </w:p>
  </w:footnote>
  <w:footnote w:type="continuationSeparator" w:id="0">
    <w:p w:rsidR="00B364CC" w:rsidRDefault="00B36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EE4A534"/>
    <w:lvl w:ilvl="0">
      <w:numFmt w:val="bullet"/>
      <w:lvlText w:val="*"/>
      <w:lvlJc w:val="left"/>
    </w:lvl>
  </w:abstractNum>
  <w:abstractNum w:abstractNumId="1">
    <w:nsid w:val="001D15E1"/>
    <w:multiLevelType w:val="hybridMultilevel"/>
    <w:tmpl w:val="06D6BA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6A09AE"/>
    <w:multiLevelType w:val="hybridMultilevel"/>
    <w:tmpl w:val="0178A38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A15226"/>
    <w:multiLevelType w:val="hybridMultilevel"/>
    <w:tmpl w:val="75E8CE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165B37"/>
    <w:multiLevelType w:val="hybridMultilevel"/>
    <w:tmpl w:val="1144DD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8E40B4"/>
    <w:multiLevelType w:val="hybridMultilevel"/>
    <w:tmpl w:val="FCD887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D026A5"/>
    <w:multiLevelType w:val="hybridMultilevel"/>
    <w:tmpl w:val="98A6B176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3006E1"/>
    <w:multiLevelType w:val="hybridMultilevel"/>
    <w:tmpl w:val="105277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1E3DFE"/>
    <w:multiLevelType w:val="hybridMultilevel"/>
    <w:tmpl w:val="FB2A18C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A4075E"/>
    <w:multiLevelType w:val="hybridMultilevel"/>
    <w:tmpl w:val="F8A21E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406D6E"/>
    <w:multiLevelType w:val="hybridMultilevel"/>
    <w:tmpl w:val="5C742D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E3F41"/>
    <w:multiLevelType w:val="hybridMultilevel"/>
    <w:tmpl w:val="F0B267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25446D"/>
    <w:multiLevelType w:val="hybridMultilevel"/>
    <w:tmpl w:val="A1F48D9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640B76"/>
    <w:multiLevelType w:val="hybridMultilevel"/>
    <w:tmpl w:val="A7B67D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844B15"/>
    <w:multiLevelType w:val="multilevel"/>
    <w:tmpl w:val="2954FF56"/>
    <w:lvl w:ilvl="0">
      <w:start w:val="1"/>
      <w:numFmt w:val="decimal"/>
      <w:lvlText w:val="%1.0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624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681"/>
      </w:pPr>
      <w:rPr>
        <w:rFonts w:hint="default"/>
        <w:b/>
        <w:i w:val="0"/>
        <w:sz w:val="20"/>
      </w:rPr>
    </w:lvl>
    <w:lvl w:ilvl="3">
      <w:start w:val="1"/>
      <w:numFmt w:val="none"/>
      <w:lvlText w:val="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>
      <w:start w:val="1"/>
      <w:numFmt w:val="none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none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none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none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none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6BD76D1D"/>
    <w:multiLevelType w:val="hybridMultilevel"/>
    <w:tmpl w:val="94C840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0A29F9"/>
    <w:multiLevelType w:val="hybridMultilevel"/>
    <w:tmpl w:val="B0D8FC94"/>
    <w:lvl w:ilvl="0" w:tplc="753AA9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B7D4AD2"/>
    <w:multiLevelType w:val="hybridMultilevel"/>
    <w:tmpl w:val="1FF0BE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13"/>
  </w:num>
  <w:num w:numId="5">
    <w:abstractNumId w:val="4"/>
  </w:num>
  <w:num w:numId="6">
    <w:abstractNumId w:val="5"/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17"/>
  </w:num>
  <w:num w:numId="9">
    <w:abstractNumId w:val="3"/>
  </w:num>
  <w:num w:numId="10">
    <w:abstractNumId w:val="15"/>
  </w:num>
  <w:num w:numId="11">
    <w:abstractNumId w:val="1"/>
  </w:num>
  <w:num w:numId="12">
    <w:abstractNumId w:val="7"/>
  </w:num>
  <w:num w:numId="13">
    <w:abstractNumId w:val="16"/>
  </w:num>
  <w:num w:numId="14">
    <w:abstractNumId w:val="2"/>
  </w:num>
  <w:num w:numId="15">
    <w:abstractNumId w:val="9"/>
  </w:num>
  <w:num w:numId="16">
    <w:abstractNumId w:val="11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292"/>
    <w:rsid w:val="00006550"/>
    <w:rsid w:val="00026EA8"/>
    <w:rsid w:val="0004341E"/>
    <w:rsid w:val="0005009C"/>
    <w:rsid w:val="00056263"/>
    <w:rsid w:val="00074870"/>
    <w:rsid w:val="000A15C5"/>
    <w:rsid w:val="000A50C0"/>
    <w:rsid w:val="000C07C6"/>
    <w:rsid w:val="000C3928"/>
    <w:rsid w:val="001575F4"/>
    <w:rsid w:val="001716DC"/>
    <w:rsid w:val="001D0E38"/>
    <w:rsid w:val="00220E1F"/>
    <w:rsid w:val="00284C3C"/>
    <w:rsid w:val="00296DEB"/>
    <w:rsid w:val="002A44A1"/>
    <w:rsid w:val="002B5EBB"/>
    <w:rsid w:val="002E2001"/>
    <w:rsid w:val="002E3CA8"/>
    <w:rsid w:val="0032056F"/>
    <w:rsid w:val="00322E15"/>
    <w:rsid w:val="00350F97"/>
    <w:rsid w:val="0036589A"/>
    <w:rsid w:val="003779D4"/>
    <w:rsid w:val="00397E16"/>
    <w:rsid w:val="003D45D4"/>
    <w:rsid w:val="003D7C31"/>
    <w:rsid w:val="003E20CA"/>
    <w:rsid w:val="003F5394"/>
    <w:rsid w:val="00413AE2"/>
    <w:rsid w:val="00435285"/>
    <w:rsid w:val="00461D90"/>
    <w:rsid w:val="004B02A4"/>
    <w:rsid w:val="004B1267"/>
    <w:rsid w:val="004E4FB9"/>
    <w:rsid w:val="00507AC6"/>
    <w:rsid w:val="005104C9"/>
    <w:rsid w:val="00536511"/>
    <w:rsid w:val="00541555"/>
    <w:rsid w:val="005441F5"/>
    <w:rsid w:val="00571305"/>
    <w:rsid w:val="005B689F"/>
    <w:rsid w:val="00623BEC"/>
    <w:rsid w:val="006C5527"/>
    <w:rsid w:val="006F5F66"/>
    <w:rsid w:val="006F6F71"/>
    <w:rsid w:val="00713675"/>
    <w:rsid w:val="0073326E"/>
    <w:rsid w:val="007702D8"/>
    <w:rsid w:val="00780885"/>
    <w:rsid w:val="00782815"/>
    <w:rsid w:val="00785F1C"/>
    <w:rsid w:val="00795F8F"/>
    <w:rsid w:val="00796546"/>
    <w:rsid w:val="007A1756"/>
    <w:rsid w:val="007A2B88"/>
    <w:rsid w:val="007C3AD5"/>
    <w:rsid w:val="007D2863"/>
    <w:rsid w:val="007D4010"/>
    <w:rsid w:val="007E3C57"/>
    <w:rsid w:val="007E71DB"/>
    <w:rsid w:val="007E76F2"/>
    <w:rsid w:val="00834180"/>
    <w:rsid w:val="00855C66"/>
    <w:rsid w:val="00875EB7"/>
    <w:rsid w:val="00875FAF"/>
    <w:rsid w:val="008B5AA6"/>
    <w:rsid w:val="008C78C6"/>
    <w:rsid w:val="0092457B"/>
    <w:rsid w:val="00937F92"/>
    <w:rsid w:val="00941CFE"/>
    <w:rsid w:val="00953653"/>
    <w:rsid w:val="00960D42"/>
    <w:rsid w:val="009655B9"/>
    <w:rsid w:val="00973E90"/>
    <w:rsid w:val="009910CD"/>
    <w:rsid w:val="00994B67"/>
    <w:rsid w:val="009F60FD"/>
    <w:rsid w:val="00A03364"/>
    <w:rsid w:val="00A42B6C"/>
    <w:rsid w:val="00A66151"/>
    <w:rsid w:val="00A90F0B"/>
    <w:rsid w:val="00A92D8F"/>
    <w:rsid w:val="00AA45FC"/>
    <w:rsid w:val="00AA5D0B"/>
    <w:rsid w:val="00AA687D"/>
    <w:rsid w:val="00AB4622"/>
    <w:rsid w:val="00AB7241"/>
    <w:rsid w:val="00AC577F"/>
    <w:rsid w:val="00AD3292"/>
    <w:rsid w:val="00AD3722"/>
    <w:rsid w:val="00AF0E51"/>
    <w:rsid w:val="00AF7205"/>
    <w:rsid w:val="00B13F04"/>
    <w:rsid w:val="00B251C4"/>
    <w:rsid w:val="00B364CC"/>
    <w:rsid w:val="00B6749E"/>
    <w:rsid w:val="00B67FB3"/>
    <w:rsid w:val="00B75CD3"/>
    <w:rsid w:val="00B9000A"/>
    <w:rsid w:val="00BB24B6"/>
    <w:rsid w:val="00BB550A"/>
    <w:rsid w:val="00BB6DA8"/>
    <w:rsid w:val="00BC2F63"/>
    <w:rsid w:val="00BD350F"/>
    <w:rsid w:val="00BF7017"/>
    <w:rsid w:val="00C16EA7"/>
    <w:rsid w:val="00C3433C"/>
    <w:rsid w:val="00C414BB"/>
    <w:rsid w:val="00CB737C"/>
    <w:rsid w:val="00CC1CD6"/>
    <w:rsid w:val="00D16689"/>
    <w:rsid w:val="00D21A15"/>
    <w:rsid w:val="00D37AC7"/>
    <w:rsid w:val="00D71F03"/>
    <w:rsid w:val="00D83036"/>
    <w:rsid w:val="00DC7135"/>
    <w:rsid w:val="00DE5736"/>
    <w:rsid w:val="00DF601D"/>
    <w:rsid w:val="00E01F42"/>
    <w:rsid w:val="00E067DE"/>
    <w:rsid w:val="00E34E79"/>
    <w:rsid w:val="00E37392"/>
    <w:rsid w:val="00E375A9"/>
    <w:rsid w:val="00E4671E"/>
    <w:rsid w:val="00E54BC4"/>
    <w:rsid w:val="00E676D7"/>
    <w:rsid w:val="00EB6434"/>
    <w:rsid w:val="00EC74D1"/>
    <w:rsid w:val="00EF17E0"/>
    <w:rsid w:val="00EF59F1"/>
    <w:rsid w:val="00F35348"/>
    <w:rsid w:val="00F4367A"/>
    <w:rsid w:val="00F44FFD"/>
    <w:rsid w:val="00F513CF"/>
    <w:rsid w:val="00F60831"/>
    <w:rsid w:val="00F7606D"/>
    <w:rsid w:val="00F80551"/>
    <w:rsid w:val="00F84B04"/>
    <w:rsid w:val="00FC0CEE"/>
    <w:rsid w:val="00FC5EE8"/>
    <w:rsid w:val="00FC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689F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  <w:u w:val="single"/>
    </w:rPr>
  </w:style>
  <w:style w:type="paragraph" w:styleId="Heading3">
    <w:name w:val="heading 3"/>
    <w:basedOn w:val="Normal"/>
    <w:next w:val="Normal"/>
    <w:link w:val="Heading3Char"/>
    <w:qFormat/>
    <w:rsid w:val="00960D42"/>
    <w:pPr>
      <w:keepNext/>
      <w:tabs>
        <w:tab w:val="num" w:pos="1021"/>
      </w:tabs>
      <w:overflowPunct w:val="0"/>
      <w:autoSpaceDE w:val="0"/>
      <w:autoSpaceDN w:val="0"/>
      <w:adjustRightInd w:val="0"/>
      <w:spacing w:before="240"/>
      <w:ind w:left="1021" w:hanging="681"/>
      <w:textAlignment w:val="baseline"/>
      <w:outlineLvl w:val="2"/>
    </w:pPr>
    <w:rPr>
      <w:b/>
      <w:noProof/>
      <w:color w:val="0060A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7136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0F0B"/>
    <w:pPr>
      <w:ind w:left="720"/>
    </w:pPr>
  </w:style>
  <w:style w:type="table" w:styleId="TableGrid">
    <w:name w:val="Table Grid"/>
    <w:basedOn w:val="TableNormal"/>
    <w:rsid w:val="00B251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960D42"/>
    <w:rPr>
      <w:rFonts w:ascii="Arial" w:hAnsi="Arial"/>
      <w:b/>
      <w:noProof/>
      <w:color w:val="0060A9"/>
      <w:lang w:eastAsia="en-US"/>
    </w:rPr>
  </w:style>
  <w:style w:type="paragraph" w:styleId="BodyText">
    <w:name w:val="Body Text"/>
    <w:basedOn w:val="Normal"/>
    <w:link w:val="BodyTextChar"/>
    <w:rsid w:val="00960D42"/>
    <w:pPr>
      <w:tabs>
        <w:tab w:val="num" w:pos="397"/>
      </w:tabs>
      <w:overflowPunct w:val="0"/>
      <w:autoSpaceDE w:val="0"/>
      <w:autoSpaceDN w:val="0"/>
      <w:adjustRightInd w:val="0"/>
      <w:spacing w:before="240"/>
      <w:ind w:left="397" w:hanging="397"/>
      <w:jc w:val="both"/>
      <w:textAlignment w:val="baseline"/>
    </w:pPr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960D42"/>
    <w:rPr>
      <w:rFonts w:ascii="Arial" w:hAnsi="Arial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689F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  <w:u w:val="single"/>
    </w:rPr>
  </w:style>
  <w:style w:type="paragraph" w:styleId="Heading3">
    <w:name w:val="heading 3"/>
    <w:basedOn w:val="Normal"/>
    <w:next w:val="Normal"/>
    <w:link w:val="Heading3Char"/>
    <w:qFormat/>
    <w:rsid w:val="00960D42"/>
    <w:pPr>
      <w:keepNext/>
      <w:tabs>
        <w:tab w:val="num" w:pos="1021"/>
      </w:tabs>
      <w:overflowPunct w:val="0"/>
      <w:autoSpaceDE w:val="0"/>
      <w:autoSpaceDN w:val="0"/>
      <w:adjustRightInd w:val="0"/>
      <w:spacing w:before="240"/>
      <w:ind w:left="1021" w:hanging="681"/>
      <w:textAlignment w:val="baseline"/>
      <w:outlineLvl w:val="2"/>
    </w:pPr>
    <w:rPr>
      <w:b/>
      <w:noProof/>
      <w:color w:val="0060A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7136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0F0B"/>
    <w:pPr>
      <w:ind w:left="720"/>
    </w:pPr>
  </w:style>
  <w:style w:type="table" w:styleId="TableGrid">
    <w:name w:val="Table Grid"/>
    <w:basedOn w:val="TableNormal"/>
    <w:rsid w:val="00B251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960D42"/>
    <w:rPr>
      <w:rFonts w:ascii="Arial" w:hAnsi="Arial"/>
      <w:b/>
      <w:noProof/>
      <w:color w:val="0060A9"/>
      <w:lang w:eastAsia="en-US"/>
    </w:rPr>
  </w:style>
  <w:style w:type="paragraph" w:styleId="BodyText">
    <w:name w:val="Body Text"/>
    <w:basedOn w:val="Normal"/>
    <w:link w:val="BodyTextChar"/>
    <w:rsid w:val="00960D42"/>
    <w:pPr>
      <w:tabs>
        <w:tab w:val="num" w:pos="397"/>
      </w:tabs>
      <w:overflowPunct w:val="0"/>
      <w:autoSpaceDE w:val="0"/>
      <w:autoSpaceDN w:val="0"/>
      <w:adjustRightInd w:val="0"/>
      <w:spacing w:before="240"/>
      <w:ind w:left="397" w:hanging="397"/>
      <w:jc w:val="both"/>
      <w:textAlignment w:val="baseline"/>
    </w:pPr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960D42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brown2@oxford.gov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hameswater.co.uk/about-us/18594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115B6E7C</Template>
  <TotalTime>0</TotalTime>
  <Pages>3</Pages>
  <Words>1083</Words>
  <Characters>5967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7036</CharactersWithSpaces>
  <SharedDoc>false</SharedDoc>
  <HLinks>
    <vt:vector size="12" baseType="variant">
      <vt:variant>
        <vt:i4>4915326</vt:i4>
      </vt:variant>
      <vt:variant>
        <vt:i4>3</vt:i4>
      </vt:variant>
      <vt:variant>
        <vt:i4>0</vt:i4>
      </vt:variant>
      <vt:variant>
        <vt:i4>5</vt:i4>
      </vt:variant>
      <vt:variant>
        <vt:lpwstr>mailto:abrown2@oxford.gov.uk</vt:lpwstr>
      </vt:variant>
      <vt:variant>
        <vt:lpwstr/>
      </vt:variant>
      <vt:variant>
        <vt:i4>7798824</vt:i4>
      </vt:variant>
      <vt:variant>
        <vt:i4>0</vt:i4>
      </vt:variant>
      <vt:variant>
        <vt:i4>0</vt:i4>
      </vt:variant>
      <vt:variant>
        <vt:i4>5</vt:i4>
      </vt:variant>
      <vt:variant>
        <vt:lpwstr>http://www.thameswater.co.uk/about-us/18594.htm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andrew.brown2</cp:lastModifiedBy>
  <cp:revision>2</cp:revision>
  <cp:lastPrinted>2010-10-15T09:32:00Z</cp:lastPrinted>
  <dcterms:created xsi:type="dcterms:W3CDTF">2015-09-08T14:49:00Z</dcterms:created>
  <dcterms:modified xsi:type="dcterms:W3CDTF">2015-09-08T14:49:00Z</dcterms:modified>
</cp:coreProperties>
</file>